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7E0B" w14:textId="77777777" w:rsidR="00786940" w:rsidRPr="001714A2" w:rsidRDefault="00786940">
      <w:pPr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  <w:u w:val="single"/>
        </w:rPr>
        <w:t>UZASADNIENIE</w:t>
      </w:r>
    </w:p>
    <w:p w14:paraId="3F9C623C" w14:textId="77777777" w:rsidR="00786940" w:rsidRPr="001714A2" w:rsidRDefault="00786940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716366" w14:textId="763F9B48" w:rsidR="00786940" w:rsidRPr="001714A2" w:rsidRDefault="006717F1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1. Niniejszą uchwałę podejmuje się na podstawie art. 20 ust. 1 w związku z art. 27 ustawy z dnia 27 marca 2003 r. o planowaniu i zagospodarowaniu przestrzennym (</w:t>
      </w:r>
      <w:proofErr w:type="spellStart"/>
      <w:r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Dz.U. z </w:t>
      </w:r>
      <w:r>
        <w:rPr>
          <w:rFonts w:ascii="Arial" w:hAnsi="Arial" w:cs="Arial"/>
          <w:color w:val="000000" w:themeColor="text1"/>
          <w:sz w:val="22"/>
          <w:szCs w:val="22"/>
        </w:rPr>
        <w:t>2024 r. poz. 1130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003428DF">
        <w:rPr>
          <w:rFonts w:ascii="Arial" w:hAnsi="Arial" w:cs="Arial"/>
          <w:color w:val="000000" w:themeColor="text1"/>
          <w:sz w:val="22"/>
          <w:szCs w:val="22"/>
        </w:rPr>
        <w:t xml:space="preserve">w związku z art. 67 ust. 3 pkt 4 ustawy z dnia 7 lipca 2023 r. o zmianie ustawy o planowaniu i zagospodarowaniu przestrzennym oraz niektórych innych ustaw (Dz. U. </w:t>
      </w:r>
      <w:r w:rsidR="00480CBC" w:rsidRPr="001714A2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480CBC">
        <w:rPr>
          <w:rFonts w:ascii="Arial" w:hAnsi="Arial" w:cs="Arial"/>
          <w:color w:val="000000" w:themeColor="text1"/>
          <w:sz w:val="22"/>
          <w:szCs w:val="22"/>
        </w:rPr>
        <w:t xml:space="preserve">2024 r. </w:t>
      </w:r>
      <w:r w:rsidRPr="003428DF">
        <w:rPr>
          <w:rFonts w:ascii="Arial" w:hAnsi="Arial" w:cs="Arial"/>
          <w:color w:val="000000" w:themeColor="text1"/>
          <w:sz w:val="22"/>
          <w:szCs w:val="22"/>
        </w:rPr>
        <w:t xml:space="preserve">poz. 1688)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oraz art. 18 ust. 2 pkt 5 i art. 40 ust. 1 ustawy z dnia 8 marca 1990 r. o samorządzie gminnym (</w:t>
      </w:r>
      <w:proofErr w:type="spellStart"/>
      <w:r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Dz.U. z </w:t>
      </w:r>
      <w:r w:rsidRPr="00480CBC">
        <w:rPr>
          <w:rFonts w:ascii="Arial" w:hAnsi="Arial" w:cs="Arial"/>
          <w:color w:val="000000" w:themeColor="text1"/>
          <w:sz w:val="22"/>
          <w:szCs w:val="22"/>
        </w:rPr>
        <w:t xml:space="preserve">2024 r. poz. </w:t>
      </w:r>
      <w:r w:rsidR="00480CBC" w:rsidRPr="00480CBC">
        <w:rPr>
          <w:rFonts w:ascii="Arial" w:hAnsi="Arial" w:cs="Arial"/>
          <w:color w:val="000000" w:themeColor="text1"/>
          <w:sz w:val="22"/>
          <w:szCs w:val="22"/>
        </w:rPr>
        <w:t>1465</w:t>
      </w:r>
      <w:r w:rsidRPr="00480CBC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Pr="00480CBC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Pr="00480CBC">
        <w:rPr>
          <w:rFonts w:ascii="Arial" w:hAnsi="Arial" w:cs="Arial"/>
          <w:color w:val="000000" w:themeColor="text1"/>
          <w:sz w:val="22"/>
          <w:szCs w:val="22"/>
        </w:rPr>
        <w:t>. zm.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31FF2476" w14:textId="77777777" w:rsidR="00786940" w:rsidRPr="001714A2" w:rsidRDefault="00786940" w:rsidP="000257B6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2685A1" w14:textId="77777777" w:rsidR="00786940" w:rsidRPr="001714A2" w:rsidRDefault="00786940" w:rsidP="000257B6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E14541" w14:textId="10DD3848" w:rsidR="00786940" w:rsidRPr="001714A2" w:rsidRDefault="006717F1" w:rsidP="000257B6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2. W związku z art. 15 ust. 1 ustawy z dnia 27 marca 2003 r. o planowaniu i zagospodarowaniu przestrzennym (</w:t>
      </w:r>
      <w:proofErr w:type="spellStart"/>
      <w:r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Dz. U. z </w:t>
      </w:r>
      <w:r>
        <w:rPr>
          <w:rFonts w:ascii="Arial" w:hAnsi="Arial" w:cs="Arial"/>
          <w:color w:val="000000" w:themeColor="text1"/>
          <w:sz w:val="22"/>
          <w:szCs w:val="22"/>
        </w:rPr>
        <w:t>2024 r. poz. 1130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 w uzasadnieniu przedstawia się w szczególności:</w:t>
      </w:r>
    </w:p>
    <w:p w14:paraId="012AD1AB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realizacji wymogów wynikających z art. 1 ust 2;</w:t>
      </w:r>
    </w:p>
    <w:p w14:paraId="62BA34C2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realizacji wymogów wynikających z art. 1 ust 3;</w:t>
      </w:r>
    </w:p>
    <w:p w14:paraId="1C86D3B1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realizacji wymogów wynikających z art. 1 ust 4;</w:t>
      </w:r>
    </w:p>
    <w:p w14:paraId="7B73EABD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zgodność z wynikami analizy, o której mowa w art. 32 ust. 1, wraz z datą uchwały rady gminy, o której mowa w art. 32 ust. 2, oraz sposób uwzględnienia uniwersalnego projektowania;</w:t>
      </w:r>
    </w:p>
    <w:p w14:paraId="290152C4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wpływ na finanse publiczne, w tym budżet gminy.</w:t>
      </w:r>
    </w:p>
    <w:p w14:paraId="32D0F7A7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B9A254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Ad. 2. pkt 1. Sposób realizacji wymogów wynikających z art. 1 ust 2 winien uwzględniać zwłaszcza: „W planowaniu i zagospodarowaniu przestrzennym uwzględnia się zwłaszcza: </w:t>
      </w:r>
    </w:p>
    <w:p w14:paraId="0D953022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ładu przestrzennego, w tym urbanistyki i architektury;</w:t>
      </w:r>
    </w:p>
    <w:p w14:paraId="2F6443FF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architektoniczne i krajobrazowe;</w:t>
      </w:r>
    </w:p>
    <w:p w14:paraId="34915798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ochrony środowiska, w tym gospodarowania wodami i ochrony gruntów rolnych i leśnych;</w:t>
      </w:r>
    </w:p>
    <w:p w14:paraId="46DA2069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ochrony dziedzictwa kulturowego i zabytków oraz dóbr kultury współczesnej;</w:t>
      </w:r>
    </w:p>
    <w:p w14:paraId="391A2CD8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ochrony zdrowia oraz bezpieczeństwa ludzi i mienia, a także potrzeby osób niepełnosprawnych;</w:t>
      </w:r>
    </w:p>
    <w:p w14:paraId="3C3725FF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ekonomiczne przestrzeni;</w:t>
      </w:r>
    </w:p>
    <w:p w14:paraId="2AB98513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prawo własności;</w:t>
      </w:r>
    </w:p>
    <w:p w14:paraId="2A32F0C9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obronności i bezpieczeństwa państwa;</w:t>
      </w:r>
    </w:p>
    <w:p w14:paraId="7F4C2269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interesu publicznego;</w:t>
      </w:r>
    </w:p>
    <w:p w14:paraId="26D11CB8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w zakresie rozwoju infrastruktury technicznej, w szczególności sieci szerokopasmowych;</w:t>
      </w:r>
    </w:p>
    <w:p w14:paraId="3F477B03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3446F676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zachowanie jawności i przejrzystości procedur planistycznych;</w:t>
      </w:r>
    </w:p>
    <w:p w14:paraId="2169D493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potrzebę zapewnienia odpowiedniej ilości i jakości wody, do celów zaopatrzenia ludności.”</w:t>
      </w:r>
    </w:p>
    <w:p w14:paraId="740CDEB8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2CC93873" w14:textId="669322C0" w:rsidR="00786940" w:rsidRPr="001714A2" w:rsidRDefault="00786940" w:rsidP="00380D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„Miejscowy plan zagospodarowania przestrzennego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 xml:space="preserve">Gminy Kościerzyna w </w:t>
      </w:r>
      <w:r w:rsidR="00882685" w:rsidRPr="003D737D">
        <w:rPr>
          <w:rFonts w:ascii="Arial" w:hAnsi="Arial" w:cs="Arial"/>
          <w:color w:val="000000" w:themeColor="text1"/>
          <w:sz w:val="22"/>
          <w:szCs w:val="22"/>
        </w:rPr>
        <w:t>obrębach geodezyjnych Gostomie i Częstkowo dla terenów górnictwa i wydobycia – Gostomie XVI i Częstkowo I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” uwzględnia:</w:t>
      </w:r>
    </w:p>
    <w:p w14:paraId="3E875424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ładu przestrzennego, w tym urbanistyki i architektury;</w:t>
      </w:r>
    </w:p>
    <w:p w14:paraId="68B3C40A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architektoniczne i krajobrazowe;</w:t>
      </w:r>
    </w:p>
    <w:p w14:paraId="5374A11A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ochrony środowiska, w tym gospodarowania wodami i ochrony gruntów rolnych i leśnych;</w:t>
      </w:r>
    </w:p>
    <w:p w14:paraId="3C554ABF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ochrony dziedzictwa kulturowego i zabytków oraz dóbr kultury współczesnej;</w:t>
      </w:r>
    </w:p>
    <w:p w14:paraId="2F21553C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ochrony zdrowia oraz bezpieczeństwa ludzi i mienia, a także potrzeby osób niepełnosprawnych;</w:t>
      </w:r>
    </w:p>
    <w:p w14:paraId="2CCF9C17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lastRenderedPageBreak/>
        <w:t>walory ekonomiczne przestrzeni;</w:t>
      </w:r>
    </w:p>
    <w:p w14:paraId="33A3E829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prawo własności;</w:t>
      </w:r>
    </w:p>
    <w:p w14:paraId="320E4383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obronności i bezpieczeństwa państwa;</w:t>
      </w:r>
    </w:p>
    <w:p w14:paraId="6840D187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interesu publicznego;</w:t>
      </w:r>
    </w:p>
    <w:p w14:paraId="19B31930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w zakresie rozwoju infrastruktury technicznej, w szczególności sieci szerokopasmowych;</w:t>
      </w:r>
    </w:p>
    <w:p w14:paraId="06DA048F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potrzebę zapewnienia odpowiedniej ilości i jakości wody, do celów zaopatrzenia ludności.</w:t>
      </w:r>
    </w:p>
    <w:p w14:paraId="74ED8550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7204413" w14:textId="35A90DE5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 procedurze sporządz</w:t>
      </w:r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>e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nia „miejscowego planu zagospodarowania przestrzennego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 xml:space="preserve">Gminy Kościerzyna w </w:t>
      </w:r>
      <w:r w:rsidR="00882685" w:rsidRPr="003D737D">
        <w:rPr>
          <w:rFonts w:ascii="Arial" w:hAnsi="Arial" w:cs="Arial"/>
          <w:color w:val="000000" w:themeColor="text1"/>
          <w:sz w:val="22"/>
          <w:szCs w:val="22"/>
        </w:rPr>
        <w:t>obrębach geodezyjnych Gostomie i Częstkowo dla terenów górnictwa i wydobycia – Gostomie XVI i Częstkowo I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” spełniono:</w:t>
      </w:r>
    </w:p>
    <w:p w14:paraId="0BE06A0B" w14:textId="77777777" w:rsidR="00786940" w:rsidRPr="001714A2" w:rsidRDefault="00786940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3B50D301" w14:textId="77777777" w:rsidR="00786940" w:rsidRPr="001714A2" w:rsidRDefault="00786940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zachowano jawność i przejrzystość procedur planistycznych.</w:t>
      </w:r>
    </w:p>
    <w:p w14:paraId="26BBB13F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8B763D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43A60D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Ad. 2. pkt 2. Sposób realizacji wymogów wynikających z art. 1 ust 3 winien uwzględniać zwłaszcza: „Ustalając przeznaczenie terenu lub określając potencjalny sposób zagospodarowania i korzystania z terenu, organ waży interes publiczny i interesy społeczne, w tym zgłaszane w postaci wniosków i uwag, zmierzające do ochrony istniejącego stanu zagospodarowania terenu, jak i zmian w zakresie jego zagospodarowania, a także analizy ekonomiczne, środowiskowe i społeczne.”</w:t>
      </w:r>
    </w:p>
    <w:p w14:paraId="2C461ACA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7E7799" w14:textId="3186E47B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Ustalając przeznaczenie terenu lub określając potencjalny sposób zagospodarowania i korzystania z terenu w procedurze sporządz</w:t>
      </w:r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>e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nia „miejscowego planu zagospodarowania przestrzennego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 xml:space="preserve">Gminy Kościerzyna w </w:t>
      </w:r>
      <w:r w:rsidR="00882685" w:rsidRPr="003D737D">
        <w:rPr>
          <w:rFonts w:ascii="Arial" w:hAnsi="Arial" w:cs="Arial"/>
          <w:color w:val="000000" w:themeColor="text1"/>
          <w:sz w:val="22"/>
          <w:szCs w:val="22"/>
        </w:rPr>
        <w:t>obrębach geodezyjnych Gostomie i Częstkowo dla terenów górnictwa i wydobycia – Gostomie XVI i Częstkowo I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”, organ wyważył interes publiczny i interesy społeczne, w tym zgłaszane w postaci wniosków i uwag, zmierzające do ochrony istniejącego stanu zagospodarowania terenu, jak i zmian w zakresie jego zagospodarowania, a także przeprowadził analizy ekonomiczne, środowiskowe i społeczne.</w:t>
      </w:r>
    </w:p>
    <w:p w14:paraId="46BEF59C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E13106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Ad. 2. pkt 3. Sposób realizacji wymogów wynikających z art. 1 ust 4 winien uwzględniać zwłaszcza: „W przypadku sytuowania nowej zabudowy, uwzględnienie wymagań ładu przestrzennego, efektywnego gospodarowania przestrzenią oraz walorów ekonomicznych przestrzeni następuje poprzez: </w:t>
      </w:r>
    </w:p>
    <w:p w14:paraId="2822745E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kształtowanie struktur przestrzennych przy uwzględnieniu dążenia do minimalizowania transportochłonności układu przestrzennego;</w:t>
      </w:r>
    </w:p>
    <w:p w14:paraId="4CD71509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lokalizowania nowej zabudowy mieszkaniowej w sposób umożliwiający mieszkańcom maksymalne wykorzystanie publicznego transportu zbiorowego jako podstawowego środka transportu;</w:t>
      </w:r>
    </w:p>
    <w:p w14:paraId="724EE0C5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zapewnienie rozwiązań przestrzennych, ułatwiających przemieszczanie się pieszych i rowerzystów;</w:t>
      </w:r>
    </w:p>
    <w:p w14:paraId="5711D1FD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dążenie do planowania i lokalizowania nowej zabudowy:</w:t>
      </w:r>
    </w:p>
    <w:p w14:paraId="61B1AA74" w14:textId="77777777" w:rsidR="00786940" w:rsidRPr="001714A2" w:rsidRDefault="00786940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na obszarach o w pełni wykształconej zwartej strukturze funkcjonalno-przestrzennej, w granicach jednostki osadniczej w rozumieniu art. 2 pkt 1 ustawy z dnia 29 sierpnia 2003 r. o urzędowych nazwach miejscowości i obiektów fizjograficznych (t.j. Dz. U. z 2019 r. poz. 1443), w szczególności poprzez uzupełnianie istniejącej zabudowy,</w:t>
      </w:r>
    </w:p>
    <w:p w14:paraId="77E51248" w14:textId="77777777" w:rsidR="00786940" w:rsidRPr="001714A2" w:rsidRDefault="00786940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lastRenderedPageBreak/>
        <w:t>dostępem do sieci komunikacyjnej oraz najlepszym stopniem wyposażenia w sieci wodociągowe, kanalizacyjne, elektroenergetyczne, gazowe, ciepłownicze oraz sieci i urządzenia telekomunikacyjne, adekwatnych dla nowej, planowanej zabudowy.”</w:t>
      </w:r>
    </w:p>
    <w:p w14:paraId="29FB54CF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F15E65" w14:textId="5EC8C923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Ustalenia art. 1 ust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.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4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1 w zakresie kształtowania struktur przestrzennych przy uwzględnieniu dążenia do minimalizowania transportochłonności układu przestrzennego </w:t>
      </w:r>
      <w:r w:rsidR="00982AEE" w:rsidRPr="001714A2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2AEE" w:rsidRPr="001714A2">
        <w:rPr>
          <w:rFonts w:ascii="Arial" w:hAnsi="Arial" w:cs="Arial"/>
          <w:color w:val="000000" w:themeColor="text1"/>
          <w:sz w:val="22"/>
          <w:szCs w:val="22"/>
        </w:rPr>
        <w:t>nie dotyczy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BBF1053" w14:textId="0513089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2 w zakresie lokalizowania nowej zabudowy mieszkaniowej w sposób umożliwiający mieszkańcom maksymalne wykorzystanie publicznego transportu zbiorowego jako podstawowego środka transportu – nie dotyczy.</w:t>
      </w:r>
    </w:p>
    <w:p w14:paraId="5BE20C81" w14:textId="37516E44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3 w zakresie zapewnienia rozwiązań przestrzennych, ułatwiających przemieszczanie się pieszych i rowerzystów – nie dotyczy.</w:t>
      </w:r>
    </w:p>
    <w:p w14:paraId="0A068E3A" w14:textId="7BE29485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4 lit. a w zakresie dążenia do planowania i lokalizowania nowej zabudowy na obszarach o w pełni wykształconej zwartej strukturze funkcjonalno-przestrzennej, w granicach jednostki osadniczej w rozumieniu art. 2 pkt 1 ustawy z dn. 29 sierpnia 2003 r. o urzędowych nazwach miejscowości i obiektów fizjograficznych (t.j. Dz. U. z 2019 r. poz. 1443), w szczególności poprzez uzupełnianie istniejącej zabudowy – </w:t>
      </w:r>
      <w:r w:rsidR="00982AEE" w:rsidRPr="001714A2">
        <w:rPr>
          <w:rFonts w:ascii="Arial" w:hAnsi="Arial" w:cs="Arial"/>
          <w:color w:val="000000" w:themeColor="text1"/>
          <w:sz w:val="22"/>
          <w:szCs w:val="22"/>
        </w:rPr>
        <w:t>nie dotyczy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8B06FC" w14:textId="51140FF5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4 lit. b w zakresie dążenia do planowania i lokalizowania nowej zabudowy 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 dla nowej, planowanej zabudowy – nie dotyczą.</w:t>
      </w:r>
    </w:p>
    <w:p w14:paraId="4897C910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B4EFE0" w14:textId="77777777" w:rsidR="001714A2" w:rsidRPr="001714A2" w:rsidRDefault="001714A2" w:rsidP="001714A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14A2">
        <w:rPr>
          <w:rFonts w:ascii="Arial" w:hAnsi="Arial" w:cs="Arial"/>
          <w:color w:val="000000"/>
          <w:sz w:val="22"/>
          <w:szCs w:val="22"/>
        </w:rPr>
        <w:t>Ad. 2. pkt 4. Zgodność z wynikami analizy, o której mowa w art. 32 ust. 1, wraz z datą uchwały rady gminy, o której mowa w art. 32 ust. 2 – plan jest zgodny wynikami analizy, zatwierdzonymi uchwałą nr X/184/12 Rady Gminy Kościerzyna z dnia 3 sierpnia 2012 r. w sprawie oceny aktualności studium uwarunkowań i kierunków zagospodarowania przestrzennego gminy Kościerzyna oraz miejscowych planów zagospodarowania przestrzennego.</w:t>
      </w:r>
    </w:p>
    <w:p w14:paraId="398181FF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64D640" w14:textId="590251A1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uwzględnienia uniwersalnego projektowania w planie miejscowym - wdrażanie w życie planu polegać będzie na realizacji inwestycji na podstawie decyzji administracyjnych o pozwoleniu na budowę (dla inwestycji wymagających takiej decyzji). Zgodnie z art. 34 ust. 2 ustawy z dn. 7 lipca 1994 r. Prawo budowlane (</w:t>
      </w:r>
      <w:proofErr w:type="spellStart"/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Dz. U. z </w:t>
      </w:r>
      <w:r w:rsidR="006717F1" w:rsidRPr="001714A2">
        <w:rPr>
          <w:rFonts w:ascii="Arial" w:hAnsi="Arial" w:cs="Arial"/>
          <w:color w:val="000000" w:themeColor="text1"/>
          <w:sz w:val="22"/>
          <w:szCs w:val="22"/>
        </w:rPr>
        <w:t>202</w:t>
      </w:r>
      <w:r w:rsidR="006717F1">
        <w:rPr>
          <w:rFonts w:ascii="Arial" w:hAnsi="Arial" w:cs="Arial"/>
          <w:color w:val="000000" w:themeColor="text1"/>
          <w:sz w:val="22"/>
          <w:szCs w:val="22"/>
        </w:rPr>
        <w:t>4</w:t>
      </w:r>
      <w:r w:rsidR="006717F1" w:rsidRPr="001714A2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6717F1">
        <w:rPr>
          <w:rFonts w:ascii="Arial" w:hAnsi="Arial" w:cs="Arial"/>
          <w:color w:val="000000" w:themeColor="text1"/>
          <w:sz w:val="22"/>
          <w:szCs w:val="22"/>
        </w:rPr>
        <w:t>725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0" w:name="_Hlk18614573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proofErr w:type="spellStart"/>
      <w:r w:rsidRPr="001714A2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Pr="001714A2">
        <w:rPr>
          <w:rFonts w:ascii="Arial" w:hAnsi="Arial" w:cs="Arial"/>
          <w:color w:val="000000" w:themeColor="text1"/>
          <w:sz w:val="22"/>
          <w:szCs w:val="22"/>
        </w:rPr>
        <w:t>. zm.)</w:t>
      </w:r>
      <w:bookmarkEnd w:id="0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: „Zakres i treść projektu budowlanego powinny być dostosowane do specyfiki i charakteru obiektu, stopnia skomplikowania robót budowlanych oraz w zależności od przeznaczenia projektowanego obiektu określać niezbędne warunki do korzystania z obiektu przez osoby ze szczególnymi potrzebami, o których mowa w ustawie z dnia 19 lipca 2019 r. o zapewnianiu dostępności osobom ze szczególnymi potrzebami.”. Proces budowlany na obszarze planu podlegał będzie kontroli właściwych organów na podstawie przepisów odrębnych. </w:t>
      </w:r>
    </w:p>
    <w:p w14:paraId="0F7C3217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9A51DB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430C8E" w14:textId="594D211A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Ad. 2. pkt 5. Wpływ na finanse publiczne, w tym budżet gminy określa „Prognoza skutków finansowych w sprawie uchwalenia miejscowego planu zagospodarowania przestrzennego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 xml:space="preserve">Gminy Kościerzyna w </w:t>
      </w:r>
      <w:r w:rsidR="00882685" w:rsidRPr="003D737D">
        <w:rPr>
          <w:rFonts w:ascii="Arial" w:hAnsi="Arial" w:cs="Arial"/>
          <w:color w:val="000000" w:themeColor="text1"/>
          <w:sz w:val="22"/>
          <w:szCs w:val="22"/>
        </w:rPr>
        <w:t>obrębach geodezyjnych Gostomie i Częstkowo dla terenów górnictwa i wydobycia – Gostomie XVI i Częstkowo I</w:t>
      </w:r>
      <w:r w:rsidRPr="001714A2">
        <w:rPr>
          <w:rFonts w:ascii="Arial" w:eastAsia="Arial" w:hAnsi="Arial" w:cs="Arial"/>
          <w:color w:val="000000" w:themeColor="text1"/>
          <w:sz w:val="22"/>
          <w:szCs w:val="22"/>
        </w:rPr>
        <w:t>”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, opracowana w trakcie sporządzania planu.</w:t>
      </w:r>
    </w:p>
    <w:p w14:paraId="1045A72A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2AA83C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463D0EA9" w14:textId="77777777" w:rsidR="00DA54C3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18DA">
        <w:rPr>
          <w:rFonts w:ascii="Arial" w:hAnsi="Arial" w:cs="Arial"/>
          <w:color w:val="000000" w:themeColor="text1"/>
          <w:sz w:val="22"/>
          <w:szCs w:val="22"/>
        </w:rPr>
        <w:t xml:space="preserve">3. Dla obszaru objętego planem gmina 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>Kościerzyna</w:t>
      </w:r>
      <w:r w:rsidRPr="000518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24AB" w:rsidRPr="000518DA">
        <w:rPr>
          <w:rFonts w:ascii="Arial" w:hAnsi="Arial" w:cs="Arial"/>
          <w:color w:val="000000" w:themeColor="text1"/>
          <w:sz w:val="22"/>
          <w:szCs w:val="22"/>
        </w:rPr>
        <w:t>posiada obowiązując</w:t>
      </w:r>
      <w:r w:rsidR="000518DA" w:rsidRPr="000518DA">
        <w:rPr>
          <w:rFonts w:ascii="Arial" w:hAnsi="Arial" w:cs="Arial"/>
          <w:color w:val="000000" w:themeColor="text1"/>
          <w:sz w:val="22"/>
          <w:szCs w:val="22"/>
        </w:rPr>
        <w:t>y</w:t>
      </w:r>
      <w:r w:rsidR="007024AB" w:rsidRPr="000518D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 xml:space="preserve">miejscowy plan zagospodarowania przestrzennego </w:t>
      </w:r>
      <w:r w:rsidR="00882685" w:rsidRPr="0088681F">
        <w:rPr>
          <w:rFonts w:ascii="Arial" w:hAnsi="Arial" w:cs="Arial"/>
          <w:color w:val="000000" w:themeColor="text1"/>
          <w:sz w:val="22"/>
          <w:szCs w:val="22"/>
        </w:rPr>
        <w:t xml:space="preserve">dla działek </w:t>
      </w:r>
      <w:proofErr w:type="spellStart"/>
      <w:r w:rsidR="00882685" w:rsidRPr="0088681F">
        <w:rPr>
          <w:rFonts w:ascii="Arial" w:hAnsi="Arial" w:cs="Arial"/>
          <w:color w:val="000000" w:themeColor="text1"/>
          <w:sz w:val="22"/>
          <w:szCs w:val="22"/>
        </w:rPr>
        <w:t>ozn</w:t>
      </w:r>
      <w:proofErr w:type="spellEnd"/>
      <w:r w:rsidR="00882685" w:rsidRPr="0088681F">
        <w:rPr>
          <w:rFonts w:ascii="Arial" w:hAnsi="Arial" w:cs="Arial"/>
          <w:color w:val="000000" w:themeColor="text1"/>
          <w:sz w:val="22"/>
          <w:szCs w:val="22"/>
        </w:rPr>
        <w:t xml:space="preserve">. nr </w:t>
      </w:r>
      <w:proofErr w:type="spellStart"/>
      <w:r w:rsidR="00882685" w:rsidRPr="0088681F">
        <w:rPr>
          <w:rFonts w:ascii="Arial" w:hAnsi="Arial" w:cs="Arial"/>
          <w:color w:val="000000" w:themeColor="text1"/>
          <w:sz w:val="22"/>
          <w:szCs w:val="22"/>
        </w:rPr>
        <w:t>ewid</w:t>
      </w:r>
      <w:proofErr w:type="spellEnd"/>
      <w:r w:rsidR="00882685" w:rsidRPr="0088681F">
        <w:rPr>
          <w:rFonts w:ascii="Arial" w:hAnsi="Arial" w:cs="Arial"/>
          <w:color w:val="000000" w:themeColor="text1"/>
          <w:sz w:val="22"/>
          <w:szCs w:val="22"/>
        </w:rPr>
        <w:t xml:space="preserve">.: 149 o pow. 32,58 ha, 150 o pow. 19,90 ha, 151 o pow. 0,44 ha, 152 o pow. 20,79 ha i 153 o pow. 25,37 ha położonych w obrębie </w:t>
      </w:r>
      <w:r w:rsidR="00882685" w:rsidRPr="0088681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ewidencyjny Częstkowo oraz dz. </w:t>
      </w:r>
      <w:proofErr w:type="spellStart"/>
      <w:r w:rsidR="00882685" w:rsidRPr="0088681F">
        <w:rPr>
          <w:rFonts w:ascii="Arial" w:hAnsi="Arial" w:cs="Arial"/>
          <w:color w:val="000000" w:themeColor="text1"/>
          <w:sz w:val="22"/>
          <w:szCs w:val="22"/>
        </w:rPr>
        <w:t>ozn</w:t>
      </w:r>
      <w:proofErr w:type="spellEnd"/>
      <w:r w:rsidR="00882685" w:rsidRPr="0088681F">
        <w:rPr>
          <w:rFonts w:ascii="Arial" w:hAnsi="Arial" w:cs="Arial"/>
          <w:color w:val="000000" w:themeColor="text1"/>
          <w:sz w:val="22"/>
          <w:szCs w:val="22"/>
        </w:rPr>
        <w:t xml:space="preserve">. nr </w:t>
      </w:r>
      <w:proofErr w:type="spellStart"/>
      <w:r w:rsidR="00882685" w:rsidRPr="0088681F">
        <w:rPr>
          <w:rFonts w:ascii="Arial" w:hAnsi="Arial" w:cs="Arial"/>
          <w:color w:val="000000" w:themeColor="text1"/>
          <w:sz w:val="22"/>
          <w:szCs w:val="22"/>
        </w:rPr>
        <w:t>ewid</w:t>
      </w:r>
      <w:proofErr w:type="spellEnd"/>
      <w:r w:rsidR="00882685" w:rsidRPr="0088681F">
        <w:rPr>
          <w:rFonts w:ascii="Arial" w:hAnsi="Arial" w:cs="Arial"/>
          <w:color w:val="000000" w:themeColor="text1"/>
          <w:sz w:val="22"/>
          <w:szCs w:val="22"/>
        </w:rPr>
        <w:t>: 121 o pow. 0,0002 ha i 533 o pow. 27,86 ha położonych w obrębie ewidencyjnym Gostomie, gmina Kościerzyna, zatwierdzony uchwałą nr IV/264/17 Rady Gminy Kościerzyna z dnia 26 kwietnia 2017 r. (Dz. Urz. Woj. Pom. z 2017 r. poz. 2559).</w:t>
      </w:r>
      <w:r w:rsidR="007024AB" w:rsidRPr="000518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44B5" w:rsidRPr="000518DA">
        <w:rPr>
          <w:rFonts w:ascii="Arial" w:hAnsi="Arial" w:cs="Arial"/>
          <w:color w:val="000000" w:themeColor="text1"/>
          <w:sz w:val="22"/>
          <w:szCs w:val="22"/>
        </w:rPr>
        <w:t xml:space="preserve">Opracowanie „miejscowego planu zagospodarowania przestrzennego 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 xml:space="preserve">Gminy Kościerzyna w </w:t>
      </w:r>
      <w:r w:rsidR="00882685" w:rsidRPr="003D737D">
        <w:rPr>
          <w:rFonts w:ascii="Arial" w:hAnsi="Arial" w:cs="Arial"/>
          <w:color w:val="000000" w:themeColor="text1"/>
          <w:sz w:val="22"/>
          <w:szCs w:val="22"/>
        </w:rPr>
        <w:t>obrębach geodezyjnych Gostomie i Częstkowo dla terenów górnictwa i wydobycia – Gostomie XVI i Częstkowo I</w:t>
      </w:r>
      <w:r w:rsidR="002D44B5" w:rsidRPr="000518DA">
        <w:rPr>
          <w:rFonts w:ascii="Arial" w:hAnsi="Arial" w:cs="Arial"/>
          <w:color w:val="000000" w:themeColor="text1"/>
          <w:sz w:val="22"/>
          <w:szCs w:val="22"/>
        </w:rPr>
        <w:t xml:space="preserve">” podjęto na podstawie </w:t>
      </w:r>
      <w:bookmarkStart w:id="1" w:name="_Hlk479183426"/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 xml:space="preserve">uchwały nr </w:t>
      </w:r>
      <w:bookmarkStart w:id="2" w:name="_Hlk55036939"/>
      <w:r w:rsidR="00882685" w:rsidRPr="00575A07">
        <w:rPr>
          <w:rFonts w:ascii="Arial" w:hAnsi="Arial" w:cs="Arial"/>
          <w:color w:val="000000" w:themeColor="text1"/>
          <w:sz w:val="22"/>
          <w:szCs w:val="22"/>
        </w:rPr>
        <w:t>IX/47</w:t>
      </w:r>
      <w:r w:rsidR="00882685">
        <w:rPr>
          <w:rFonts w:ascii="Arial" w:hAnsi="Arial" w:cs="Arial"/>
          <w:color w:val="000000" w:themeColor="text1"/>
          <w:sz w:val="22"/>
          <w:szCs w:val="22"/>
        </w:rPr>
        <w:t>1</w:t>
      </w:r>
      <w:r w:rsidR="00882685" w:rsidRPr="00575A07">
        <w:rPr>
          <w:rFonts w:ascii="Arial" w:hAnsi="Arial" w:cs="Arial"/>
          <w:color w:val="000000" w:themeColor="text1"/>
          <w:sz w:val="22"/>
          <w:szCs w:val="22"/>
        </w:rPr>
        <w:t>/23</w:t>
      </w:r>
      <w:r w:rsidR="00882685"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 xml:space="preserve">Rady Gminy Kościerzyna z dnia </w:t>
      </w:r>
      <w:bookmarkEnd w:id="2"/>
      <w:r w:rsidR="00882685" w:rsidRPr="00575A07">
        <w:rPr>
          <w:rFonts w:ascii="Arial" w:hAnsi="Arial" w:cs="Arial"/>
          <w:color w:val="000000" w:themeColor="text1"/>
          <w:sz w:val="22"/>
          <w:szCs w:val="22"/>
        </w:rPr>
        <w:t xml:space="preserve">28 lipca 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>2023 r.</w:t>
      </w:r>
      <w:r w:rsidR="002D44B5" w:rsidRPr="000518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3" w:name="_Hlk100391047"/>
      <w:bookmarkEnd w:id="1"/>
      <w:r w:rsidR="00480CBC" w:rsidRPr="00E04EBA">
        <w:rPr>
          <w:rFonts w:ascii="Arial" w:hAnsi="Arial" w:cs="Arial"/>
          <w:color w:val="000000" w:themeColor="text1"/>
          <w:sz w:val="22"/>
          <w:szCs w:val="22"/>
        </w:rPr>
        <w:t>i uchwał</w:t>
      </w:r>
      <w:r w:rsidR="00480CBC">
        <w:rPr>
          <w:rFonts w:ascii="Arial" w:hAnsi="Arial" w:cs="Arial"/>
          <w:color w:val="000000" w:themeColor="text1"/>
          <w:sz w:val="22"/>
          <w:szCs w:val="22"/>
        </w:rPr>
        <w:t>y</w:t>
      </w:r>
      <w:r w:rsidR="00480CBC" w:rsidRPr="00E04EBA">
        <w:rPr>
          <w:rFonts w:ascii="Arial" w:hAnsi="Arial" w:cs="Arial"/>
          <w:color w:val="000000" w:themeColor="text1"/>
          <w:sz w:val="22"/>
          <w:szCs w:val="22"/>
        </w:rPr>
        <w:t xml:space="preserve"> nr X/65/24 Rady Gminy Kościerzyna z dnia </w:t>
      </w:r>
      <w:bookmarkStart w:id="4" w:name="_Hlk157285968"/>
      <w:r w:rsidR="00480CBC" w:rsidRPr="00E04EBA">
        <w:rPr>
          <w:rFonts w:ascii="Arial" w:hAnsi="Arial" w:cs="Arial"/>
          <w:color w:val="000000" w:themeColor="text1"/>
          <w:sz w:val="22"/>
          <w:szCs w:val="22"/>
        </w:rPr>
        <w:t>18 grudnia</w:t>
      </w:r>
      <w:bookmarkEnd w:id="4"/>
      <w:r w:rsidR="00480CBC" w:rsidRPr="00E04EBA">
        <w:rPr>
          <w:rFonts w:ascii="Arial" w:hAnsi="Arial" w:cs="Arial"/>
          <w:color w:val="000000" w:themeColor="text1"/>
          <w:sz w:val="22"/>
          <w:szCs w:val="22"/>
        </w:rPr>
        <w:t xml:space="preserve"> 2024 r. zmniejszając</w:t>
      </w:r>
      <w:r w:rsidR="00480CBC">
        <w:rPr>
          <w:rFonts w:ascii="Arial" w:hAnsi="Arial" w:cs="Arial"/>
          <w:color w:val="000000" w:themeColor="text1"/>
          <w:sz w:val="22"/>
          <w:szCs w:val="22"/>
        </w:rPr>
        <w:t>ej</w:t>
      </w:r>
      <w:r w:rsidR="00480CBC" w:rsidRPr="00E04EBA">
        <w:rPr>
          <w:rFonts w:ascii="Arial" w:hAnsi="Arial" w:cs="Arial"/>
          <w:color w:val="000000" w:themeColor="text1"/>
          <w:sz w:val="22"/>
          <w:szCs w:val="22"/>
        </w:rPr>
        <w:t xml:space="preserve"> obszar i zakres planu</w:t>
      </w:r>
      <w:r w:rsidR="00480CBC">
        <w:rPr>
          <w:rFonts w:ascii="Arial" w:hAnsi="Arial" w:cs="Arial"/>
          <w:color w:val="000000" w:themeColor="text1"/>
          <w:sz w:val="22"/>
          <w:szCs w:val="22"/>
        </w:rPr>
        <w:t>.</w:t>
      </w:r>
      <w:r w:rsidR="00480CBC" w:rsidRPr="00E04E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2E38C6A" w14:textId="58F335D9" w:rsidR="00DA54C3" w:rsidRPr="00DA54C3" w:rsidRDefault="00DA54C3" w:rsidP="00DA54C3">
      <w:pPr>
        <w:ind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54C3">
        <w:rPr>
          <w:rFonts w:ascii="Arial" w:hAnsi="Arial" w:cs="Arial"/>
          <w:color w:val="000000" w:themeColor="text1"/>
          <w:sz w:val="22"/>
          <w:szCs w:val="22"/>
        </w:rPr>
        <w:t>Zmieniono uchwałę Nr IX/471/23 Rady Gminy Kościerzyna z dnia 28 lipca 2023 roku w sprawie przystąpienia do sporządzenia miejscowego planu zagospodarowania przestrzennego Gminy Kościerzyna w obrębach geodezyjnych Gostomie i Częstkowo dla terenów górnictwa i wydobycia oraz terenów elektrowni słonecznych – Gostomie XVI i Częstkowo I, w związku z:</w:t>
      </w:r>
    </w:p>
    <w:p w14:paraId="1E8EB738" w14:textId="77777777" w:rsidR="00DA54C3" w:rsidRPr="00DA54C3" w:rsidRDefault="00DA54C3" w:rsidP="00DA54C3">
      <w:pPr>
        <w:numPr>
          <w:ilvl w:val="0"/>
          <w:numId w:val="8"/>
        </w:numPr>
        <w:ind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54C3">
        <w:rPr>
          <w:rFonts w:ascii="Arial" w:hAnsi="Arial" w:cs="Arial"/>
          <w:color w:val="000000" w:themeColor="text1"/>
          <w:sz w:val="22"/>
          <w:szCs w:val="22"/>
        </w:rPr>
        <w:t xml:space="preserve">wnioskiem Ministra Klimatu i Środowiska o sygn. </w:t>
      </w:r>
      <w:proofErr w:type="spellStart"/>
      <w:r w:rsidRPr="00DA54C3">
        <w:rPr>
          <w:rFonts w:ascii="Arial" w:hAnsi="Arial" w:cs="Arial"/>
          <w:color w:val="000000" w:themeColor="text1"/>
          <w:sz w:val="22"/>
          <w:szCs w:val="22"/>
        </w:rPr>
        <w:t>DLŁ-WNL.8130.72.2024.MP</w:t>
      </w:r>
      <w:proofErr w:type="spellEnd"/>
      <w:r w:rsidRPr="00DA54C3">
        <w:rPr>
          <w:rFonts w:ascii="Arial" w:hAnsi="Arial" w:cs="Arial"/>
          <w:color w:val="000000" w:themeColor="text1"/>
          <w:sz w:val="22"/>
          <w:szCs w:val="22"/>
        </w:rPr>
        <w:t xml:space="preserve"> (3309710.13327120.10732111) z dnia 18 września 2024 r. w toku postępowania o wyrażenie zgody na przeznaczenie gruntów leśnych będących własnością Skarbu Państwa na cele nieleśne - o odstąpienie od przeznaczenia obszaru planu na tereny elektrowni słonecznych. Uwzględnienie tego wniosku warunkowało uzyskanie zgody na przeznaczenie gruntów leśnych będących własnością Skarbu Państwa na cele nieleśne - na tereny górnictwa i wydobycia.</w:t>
      </w:r>
    </w:p>
    <w:p w14:paraId="6417AACB" w14:textId="77777777" w:rsidR="00DA54C3" w:rsidRPr="00DA54C3" w:rsidRDefault="00DA54C3" w:rsidP="00DA54C3">
      <w:pPr>
        <w:numPr>
          <w:ilvl w:val="0"/>
          <w:numId w:val="8"/>
        </w:numPr>
        <w:ind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54C3">
        <w:rPr>
          <w:rFonts w:ascii="Arial" w:hAnsi="Arial" w:cs="Arial"/>
          <w:color w:val="000000" w:themeColor="text1"/>
          <w:sz w:val="22"/>
          <w:szCs w:val="22"/>
        </w:rPr>
        <w:t xml:space="preserve">Na podstawie decyzji o sygn. </w:t>
      </w:r>
      <w:proofErr w:type="spellStart"/>
      <w:r w:rsidRPr="00DA54C3">
        <w:rPr>
          <w:rFonts w:ascii="Arial" w:hAnsi="Arial" w:cs="Arial"/>
          <w:color w:val="000000" w:themeColor="text1"/>
          <w:sz w:val="22"/>
          <w:szCs w:val="22"/>
        </w:rPr>
        <w:t>DLŁ-WNL.8130.72.2024.MP</w:t>
      </w:r>
      <w:proofErr w:type="spellEnd"/>
      <w:r w:rsidRPr="00DA54C3">
        <w:rPr>
          <w:rFonts w:ascii="Arial" w:hAnsi="Arial" w:cs="Arial"/>
          <w:color w:val="000000" w:themeColor="text1"/>
          <w:sz w:val="22"/>
          <w:szCs w:val="22"/>
        </w:rPr>
        <w:t xml:space="preserve"> (3309710.13477975.11118754) z dnia 22 listopada 2024 r. Minister Klimatu i Środowiska wyraził zgodę na przeznaczenie gruntów leśnych będących własnością Skarbu Państwa na cele nieleśne na całym obszarze planu zmniejszonym niniejszą uchwałą - na tereny górnictwa i wydobycia.</w:t>
      </w:r>
    </w:p>
    <w:p w14:paraId="7B002A93" w14:textId="543C3859" w:rsidR="00DA54C3" w:rsidRPr="00AD3866" w:rsidRDefault="00DA54C3" w:rsidP="00DA54C3">
      <w:pPr>
        <w:numPr>
          <w:ilvl w:val="0"/>
          <w:numId w:val="8"/>
        </w:numPr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DA54C3">
        <w:rPr>
          <w:rFonts w:ascii="Arial" w:hAnsi="Arial" w:cs="Arial"/>
          <w:color w:val="000000" w:themeColor="text1"/>
          <w:sz w:val="22"/>
          <w:szCs w:val="22"/>
        </w:rPr>
        <w:t xml:space="preserve">odmową wyrażenia zgody przez Ministra Klimatu i Środowiska na podstawie decyzji o sygn. </w:t>
      </w:r>
      <w:proofErr w:type="spellStart"/>
      <w:r w:rsidRPr="00DA54C3">
        <w:rPr>
          <w:rFonts w:ascii="Arial" w:hAnsi="Arial" w:cs="Arial"/>
          <w:color w:val="000000" w:themeColor="text1"/>
          <w:sz w:val="22"/>
          <w:szCs w:val="22"/>
        </w:rPr>
        <w:t>DLŁ-WNL.8130.72.2024.MP</w:t>
      </w:r>
      <w:proofErr w:type="spellEnd"/>
      <w:r w:rsidRPr="00DA54C3">
        <w:rPr>
          <w:rFonts w:ascii="Arial" w:hAnsi="Arial" w:cs="Arial"/>
          <w:color w:val="000000" w:themeColor="text1"/>
          <w:sz w:val="22"/>
          <w:szCs w:val="22"/>
        </w:rPr>
        <w:t xml:space="preserve"> (3309710.13477975.11118754) z dnia 22 listopada 2024 r. na przeznaczenie gruntów leśnych będących własnością Skarbu Państwa na cele nieleśne o łącznej powierzchni 3,9024 ha na części działki nr 149 w obrębie Częstkowo i na części działki nr 533 w obrębie Gostomie (fragment złoża kopalin „Gostomie XVI”). W związku z powyższą odmową dalsze procedowanie planu na tym obszarze byłoby sprzeczne z ustaleniami studium uwarunkowań i kierunków zagospodarowania przestrzennego gminy Kościerzyna </w:t>
      </w:r>
      <w:bookmarkStart w:id="5" w:name="_Hlk135062435"/>
      <w:r w:rsidRPr="00DA54C3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DA54C3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DA54C3">
        <w:rPr>
          <w:rFonts w:ascii="Arial" w:hAnsi="Arial" w:cs="Arial"/>
          <w:color w:val="000000" w:themeColor="text1"/>
          <w:sz w:val="22"/>
          <w:szCs w:val="22"/>
        </w:rPr>
        <w:t>. uchwała nr XIII/505/23 Rady Gminy Kościerzyna z dnia 8 grudnia 2023 r.)</w:t>
      </w:r>
      <w:bookmarkEnd w:id="5"/>
      <w:r w:rsidRPr="00DA54C3">
        <w:rPr>
          <w:rFonts w:ascii="Arial" w:hAnsi="Arial" w:cs="Arial"/>
          <w:color w:val="000000" w:themeColor="text1"/>
          <w:sz w:val="22"/>
          <w:szCs w:val="22"/>
        </w:rPr>
        <w:t xml:space="preserve">. Zgodnie z art. 15 ust. 1 ustawy z dnia 27 marca </w:t>
      </w:r>
      <w:proofErr w:type="spellStart"/>
      <w:r w:rsidRPr="00DA54C3">
        <w:rPr>
          <w:rFonts w:ascii="Arial" w:hAnsi="Arial" w:cs="Arial"/>
          <w:color w:val="000000" w:themeColor="text1"/>
          <w:sz w:val="22"/>
          <w:szCs w:val="22"/>
        </w:rPr>
        <w:t>2003r</w:t>
      </w:r>
      <w:proofErr w:type="spellEnd"/>
      <w:r w:rsidRPr="00DA54C3">
        <w:rPr>
          <w:rFonts w:ascii="Arial" w:hAnsi="Arial" w:cs="Arial"/>
          <w:color w:val="000000" w:themeColor="text1"/>
          <w:sz w:val="22"/>
          <w:szCs w:val="22"/>
        </w:rPr>
        <w:t>. o planowaniu i zagospodarowaniu przestrzennym (</w:t>
      </w:r>
      <w:proofErr w:type="spellStart"/>
      <w:r w:rsidRPr="00DA54C3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DA54C3">
        <w:rPr>
          <w:rFonts w:ascii="Arial" w:hAnsi="Arial" w:cs="Arial"/>
          <w:color w:val="000000" w:themeColor="text1"/>
          <w:sz w:val="22"/>
          <w:szCs w:val="22"/>
        </w:rPr>
        <w:t xml:space="preserve">. Dz. U. z </w:t>
      </w:r>
      <w:proofErr w:type="spellStart"/>
      <w:r w:rsidRPr="00DA54C3">
        <w:rPr>
          <w:rFonts w:ascii="Arial" w:hAnsi="Arial" w:cs="Arial"/>
          <w:color w:val="000000" w:themeColor="text1"/>
          <w:sz w:val="22"/>
          <w:szCs w:val="22"/>
        </w:rPr>
        <w:t>2024r</w:t>
      </w:r>
      <w:proofErr w:type="spellEnd"/>
      <w:r w:rsidRPr="00DA54C3">
        <w:rPr>
          <w:rFonts w:ascii="Arial" w:hAnsi="Arial" w:cs="Arial"/>
          <w:color w:val="000000" w:themeColor="text1"/>
          <w:sz w:val="22"/>
          <w:szCs w:val="22"/>
        </w:rPr>
        <w:t xml:space="preserve">. poz. 1130) Wójt jest zobowiązany do zachowania zgodności przewidywanych rozwiązań miejscowego planu z ustaleniami studium. Zgodnie z wyrokiem m.in. NSA o sygn. II </w:t>
      </w:r>
      <w:proofErr w:type="spellStart"/>
      <w:r w:rsidRPr="00DA54C3">
        <w:rPr>
          <w:rFonts w:ascii="Arial" w:hAnsi="Arial" w:cs="Arial"/>
          <w:color w:val="000000" w:themeColor="text1"/>
          <w:sz w:val="22"/>
          <w:szCs w:val="22"/>
        </w:rPr>
        <w:t>OSK</w:t>
      </w:r>
      <w:proofErr w:type="spellEnd"/>
      <w:r w:rsidRPr="00DA54C3">
        <w:rPr>
          <w:rFonts w:ascii="Arial" w:hAnsi="Arial" w:cs="Arial"/>
          <w:color w:val="000000" w:themeColor="text1"/>
          <w:sz w:val="22"/>
          <w:szCs w:val="22"/>
        </w:rPr>
        <w:t xml:space="preserve"> 1351/14 z dn. 21 stycznia 2016 r.: „Organ stanowiący gminy przy uchwalaniu miejscowego planu zagospodarowania przestrzennego jest bowiem bezwzględnie związany ustaleniami studium, co też wynika wprost z treści art. 9 ust. 4 ustawy. Powyższą zgodność Rada Gminy jest obowiązana stwierdzić przed uchwaleniem planu miejscowego (art. 20 ust. 2 ustawy).“. Zatem wyłączono powyższy obszar z granic planu.</w:t>
      </w:r>
    </w:p>
    <w:p w14:paraId="0E84E58F" w14:textId="6F74E1C5" w:rsidR="00786940" w:rsidRPr="000518DA" w:rsidRDefault="001714A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18DA">
        <w:rPr>
          <w:rFonts w:ascii="Arial" w:hAnsi="Arial" w:cs="Arial"/>
          <w:color w:val="000000" w:themeColor="text1"/>
          <w:sz w:val="22"/>
          <w:szCs w:val="22"/>
        </w:rPr>
        <w:t>Przedmiotem planu jest przeznaczenie obszaru objętego planem pod tereny górnictwa i wydobycia wraz z niezbędną infrastrukturą techniczną i komunikacyjną.</w:t>
      </w:r>
      <w:bookmarkEnd w:id="3"/>
    </w:p>
    <w:p w14:paraId="669B2837" w14:textId="1D43673C" w:rsidR="00786940" w:rsidRPr="001714A2" w:rsidRDefault="00786940" w:rsidP="002D44B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Plan zawiera ustalenia wynikające z art. 15 ust. 2 ustawy o planowaniu i zagospodarowaniu przestrzennym i została sporządzona z uwzględnieniem standardów w zakresie tekstu planu i rysunku, ustanowionych Rozporządzeniem Ministra Infrastruktury z dn. </w:t>
      </w:r>
      <w:r w:rsidR="002D44B5" w:rsidRPr="001714A2">
        <w:rPr>
          <w:rFonts w:ascii="Arial" w:hAnsi="Arial" w:cs="Arial"/>
          <w:color w:val="000000" w:themeColor="text1"/>
          <w:sz w:val="22"/>
          <w:szCs w:val="22"/>
        </w:rPr>
        <w:t>23.12.2021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r. w sprawie wymaganego zakresu projektu miejscowego planu zagospodarowania przestrzennego (Dz. U. </w:t>
      </w:r>
      <w:r w:rsidR="002D44B5" w:rsidRPr="001714A2">
        <w:rPr>
          <w:rFonts w:ascii="Arial" w:hAnsi="Arial" w:cs="Arial"/>
          <w:color w:val="000000" w:themeColor="text1"/>
          <w:sz w:val="22"/>
          <w:szCs w:val="22"/>
        </w:rPr>
        <w:t>z 2021 r. poz. 2404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962B1CD" w14:textId="42E48947" w:rsidR="00786940" w:rsidRPr="001714A2" w:rsidRDefault="006717F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Tryb sporządzania planu został przeprowadzony zgodnie z obowiązującą procedurą narzuconą art. 17 ustawy z dn. 27 marca 2003 r. o planowaniu i zagospodarowaniu przestrzennym (</w:t>
      </w:r>
      <w:proofErr w:type="spellStart"/>
      <w:r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Dz. U. z </w:t>
      </w:r>
      <w:r>
        <w:rPr>
          <w:rFonts w:ascii="Arial" w:hAnsi="Arial" w:cs="Arial"/>
          <w:color w:val="000000" w:themeColor="text1"/>
          <w:sz w:val="22"/>
          <w:szCs w:val="22"/>
        </w:rPr>
        <w:t>2024 r. poz. 1130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</w:t>
      </w:r>
      <w:bookmarkStart w:id="6" w:name="_Hlk151032098"/>
      <w:r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Pr="007A088F">
        <w:rPr>
          <w:rFonts w:ascii="Arial" w:hAnsi="Arial" w:cs="Arial"/>
          <w:color w:val="000000" w:themeColor="text1"/>
          <w:sz w:val="22"/>
          <w:szCs w:val="22"/>
        </w:rPr>
        <w:t>art. 67 ust 3 pkt 4 ustawy z dnia 7 lipca 2023 r. o zmianie ustawy o planowaniu i zagospodarowaniu przestrzennym oraz niektórych innych ustaw (</w:t>
      </w:r>
      <w:proofErr w:type="spellStart"/>
      <w:r w:rsidRPr="007A088F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7A088F">
        <w:rPr>
          <w:rFonts w:ascii="Arial" w:hAnsi="Arial" w:cs="Arial"/>
          <w:color w:val="000000" w:themeColor="text1"/>
          <w:sz w:val="22"/>
          <w:szCs w:val="22"/>
        </w:rPr>
        <w:t>. Dz. U. z 2023 r. poz. 1688)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bookmarkEnd w:id="6"/>
      <w:r w:rsidRPr="001714A2">
        <w:rPr>
          <w:rFonts w:ascii="Arial" w:hAnsi="Arial" w:cs="Arial"/>
          <w:color w:val="000000" w:themeColor="text1"/>
          <w:sz w:val="22"/>
          <w:szCs w:val="22"/>
        </w:rPr>
        <w:t>Plan spełnia obowiązujące w tym zakresie warunki.</w:t>
      </w:r>
    </w:p>
    <w:p w14:paraId="0A4BEDED" w14:textId="343033B1" w:rsidR="00786940" w:rsidRPr="001714A2" w:rsidRDefault="00786940" w:rsidP="002D44B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lastRenderedPageBreak/>
        <w:t>Projekt rysunku planu został sporządzony na kopii mapy, o której mowa w art. 16 ustawy o planowaniu i zagospodarowaniu przestrzennym</w:t>
      </w:r>
      <w:r w:rsidR="00053FDC" w:rsidRPr="001714A2">
        <w:rPr>
          <w:rFonts w:ascii="Arial" w:hAnsi="Arial" w:cs="Arial"/>
          <w:color w:val="000000" w:themeColor="text1"/>
          <w:sz w:val="22"/>
          <w:szCs w:val="22"/>
        </w:rPr>
        <w:t xml:space="preserve"> w powiązaniu z § 5. rozporządzenia w sprawie wymaganego zakresu projektu miejscowego planu zagospodarowania przestrzennego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, zawierającej obszar objęty opracowaniem wraz z jego niezbędnym otoczeniem. Rysunek planu stanowi załącznik nr 1 do niniejszej uchwały.</w:t>
      </w:r>
    </w:p>
    <w:p w14:paraId="1DF35885" w14:textId="48741D1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Planu jest zgodny z ustaleniami Studium uwarunkowań i kierunków zagospodarowania przestrzennego gminy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Kościerzyna (</w:t>
      </w:r>
      <w:proofErr w:type="spellStart"/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 xml:space="preserve">. uchwała nr </w:t>
      </w:r>
      <w:bookmarkStart w:id="7" w:name="_Hlk153217560"/>
      <w:r w:rsidR="00480CBC" w:rsidRPr="00E04EBA">
        <w:rPr>
          <w:rFonts w:ascii="Arial" w:hAnsi="Arial" w:cs="Arial"/>
          <w:color w:val="000000" w:themeColor="text1"/>
          <w:sz w:val="22"/>
          <w:szCs w:val="22"/>
        </w:rPr>
        <w:t>XIII/505/23</w:t>
      </w:r>
      <w:bookmarkEnd w:id="7"/>
      <w:r w:rsidR="00480CBC" w:rsidRPr="00E04EBA">
        <w:rPr>
          <w:rFonts w:ascii="Arial" w:hAnsi="Arial" w:cs="Arial"/>
          <w:color w:val="000000" w:themeColor="text1"/>
          <w:sz w:val="22"/>
          <w:szCs w:val="22"/>
        </w:rPr>
        <w:t xml:space="preserve"> Rady Gminy Kościerzyna z dnia </w:t>
      </w:r>
      <w:bookmarkStart w:id="8" w:name="_Hlk153217571"/>
      <w:r w:rsidR="00480CBC" w:rsidRPr="00E04EBA">
        <w:rPr>
          <w:rFonts w:ascii="Arial" w:hAnsi="Arial" w:cs="Arial"/>
          <w:color w:val="000000" w:themeColor="text1"/>
          <w:sz w:val="22"/>
          <w:szCs w:val="22"/>
        </w:rPr>
        <w:t>8 grudnia 2023</w:t>
      </w:r>
      <w:bookmarkEnd w:id="8"/>
      <w:r w:rsidR="00480CBC" w:rsidRPr="00E04EBA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)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Wyrys ze Studium uwarunkowań i kierunków zagospodarowania przestrzennego </w:t>
      </w:r>
      <w:r w:rsidR="00660307" w:rsidRPr="001714A2">
        <w:rPr>
          <w:rFonts w:ascii="Arial" w:hAnsi="Arial" w:cs="Arial"/>
          <w:color w:val="000000" w:themeColor="text1"/>
          <w:sz w:val="22"/>
          <w:szCs w:val="22"/>
        </w:rPr>
        <w:t xml:space="preserve">gminy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 xml:space="preserve">Kościerzyna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dla obszaru objętego planem umieszczono na załączniku nr 1 do uchwały.</w:t>
      </w:r>
    </w:p>
    <w:p w14:paraId="1B979B5E" w14:textId="22F96A55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Projekt planu był wyłożony do publicznego wglądu w dniach od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071174" w:rsidRPr="001714A2">
        <w:rPr>
          <w:rFonts w:ascii="Arial" w:hAnsi="Arial" w:cs="Arial"/>
          <w:color w:val="000000" w:themeColor="text1"/>
          <w:sz w:val="22"/>
          <w:szCs w:val="22"/>
        </w:rPr>
        <w:t xml:space="preserve"> r. d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071174" w:rsidRPr="001714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r. Dyskusja publiczna odbyła się w dniu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r. Uwagi można było składać w okresie 1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4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dni po zakończeniu wyłożenia, tj.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071174" w:rsidRPr="001714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r. Do planu nie wniesiono uwag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/ wniesiono uwagi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w wyznaczonych terminach. </w:t>
      </w:r>
      <w:bookmarkStart w:id="9" w:name="_Hlk186036923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 w:rsidR="000518DA">
        <w:rPr>
          <w:rFonts w:ascii="Arial" w:hAnsi="Arial" w:cs="Arial"/>
          <w:color w:val="000000" w:themeColor="text1"/>
          <w:sz w:val="22"/>
          <w:szCs w:val="22"/>
        </w:rPr>
        <w:t>2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do niniejszej uchwały stanowi obligatoryjne rozstrzygnięcie w sprawie rozpatrzenia uwag, o których mowa w </w:t>
      </w:r>
      <w:r w:rsidR="00D1490B" w:rsidRPr="001714A2">
        <w:rPr>
          <w:rFonts w:ascii="Arial" w:hAnsi="Arial" w:cs="Arial"/>
          <w:color w:val="000000" w:themeColor="text1"/>
          <w:sz w:val="22"/>
          <w:szCs w:val="22"/>
        </w:rPr>
        <w:t>art. 20 ust. 1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ustawy o planowaniu i zagospodarowaniu przestrzennym</w:t>
      </w:r>
      <w:r w:rsidR="00D1490B">
        <w:rPr>
          <w:rFonts w:ascii="Arial" w:hAnsi="Arial" w:cs="Arial"/>
          <w:color w:val="000000" w:themeColor="text1"/>
          <w:sz w:val="22"/>
          <w:szCs w:val="22"/>
        </w:rPr>
        <w:t>,</w:t>
      </w:r>
      <w:r w:rsidR="00D1490B"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490B">
        <w:rPr>
          <w:rFonts w:ascii="Arial" w:eastAsia="Courier New" w:hAnsi="Arial" w:cs="Arial"/>
          <w:color w:val="000000" w:themeColor="text1"/>
          <w:kern w:val="2"/>
          <w:sz w:val="22"/>
          <w:szCs w:val="22"/>
        </w:rPr>
        <w:t>w związku z art. 67 ust. 3 pkt 2 ustawy z dnia 7 lipca 2023 r. o zmianie ustawy o planowaniu i zagospodarowaniu przestrzennym oraz niektórych innych ustaw (Dz. U. z 2023 r. poz. 1688)</w:t>
      </w:r>
      <w:r w:rsidR="00D1490B">
        <w:rPr>
          <w:rFonts w:ascii="Arial" w:eastAsia="Courier New" w:hAnsi="Arial" w:cs="Arial"/>
          <w:color w:val="000000" w:themeColor="text1"/>
          <w:kern w:val="2"/>
          <w:sz w:val="22"/>
          <w:szCs w:val="22"/>
        </w:rPr>
        <w:t>.</w:t>
      </w:r>
    </w:p>
    <w:p w14:paraId="22302FB4" w14:textId="13B8683B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Wymagane na podstawie </w:t>
      </w:r>
      <w:bookmarkStart w:id="10" w:name="_Hlk186036807"/>
      <w:r w:rsidRPr="001714A2">
        <w:rPr>
          <w:rFonts w:ascii="Arial" w:hAnsi="Arial" w:cs="Arial"/>
          <w:color w:val="000000" w:themeColor="text1"/>
          <w:sz w:val="22"/>
          <w:szCs w:val="22"/>
        </w:rPr>
        <w:t>art. 20 ust. 1</w:t>
      </w:r>
      <w:bookmarkEnd w:id="10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ustawy o planowaniu i zagospodarowaniu przestrzennym</w:t>
      </w:r>
      <w:r w:rsidR="00D1490B">
        <w:rPr>
          <w:rFonts w:ascii="Arial" w:hAnsi="Arial" w:cs="Arial"/>
          <w:color w:val="000000" w:themeColor="text1"/>
          <w:sz w:val="22"/>
          <w:szCs w:val="22"/>
        </w:rPr>
        <w:t>,</w:t>
      </w:r>
      <w:r w:rsidR="00D1490B"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490B">
        <w:rPr>
          <w:rFonts w:ascii="Arial" w:eastAsia="Courier New" w:hAnsi="Arial" w:cs="Arial"/>
          <w:color w:val="000000" w:themeColor="text1"/>
          <w:kern w:val="2"/>
          <w:sz w:val="22"/>
          <w:szCs w:val="22"/>
        </w:rPr>
        <w:t>w związku z art. 67 ust. 3 pkt 2 ustawy z dnia 7 lipca 2023 r. o zmianie ustawy o planowaniu i zagospodarowaniu przestrzennym oraz niektórych innych ustaw (Dz. U. z 2023 r. poz. 1688)</w:t>
      </w:r>
      <w:r w:rsidR="00D1490B">
        <w:rPr>
          <w:rFonts w:ascii="Arial" w:eastAsia="Courier New" w:hAnsi="Arial" w:cs="Arial"/>
          <w:color w:val="000000" w:themeColor="text1"/>
          <w:kern w:val="2"/>
          <w:sz w:val="22"/>
          <w:szCs w:val="22"/>
        </w:rPr>
        <w:t xml:space="preserve">,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rozstrzygnięcie o sposobie realizacji i zasadach finansowania inwestycji z zakresu infrastruktury technicznej, które należą do zadań własnych gminy, stanowi załącznik nr </w:t>
      </w:r>
      <w:r w:rsidR="000518DA">
        <w:rPr>
          <w:rFonts w:ascii="Arial" w:hAnsi="Arial" w:cs="Arial"/>
          <w:color w:val="000000" w:themeColor="text1"/>
          <w:sz w:val="22"/>
          <w:szCs w:val="22"/>
        </w:rPr>
        <w:t>3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do niniejszej uchwały.</w:t>
      </w:r>
    </w:p>
    <w:p w14:paraId="2DA2DBF7" w14:textId="427195C4" w:rsidR="00982AEE" w:rsidRPr="001714A2" w:rsidRDefault="00982AEE" w:rsidP="00982AE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1" w:name="_Hlk57276287"/>
      <w:bookmarkEnd w:id="9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Wymagany na podstawie art. 67a ust. 3 i 5 ustawy o planowaniu i zagospodarowaniu przestrzennym zbiór danych przestrzennych zawartych w planie, stanowi załącznik nr </w:t>
      </w:r>
      <w:r w:rsidR="000518DA">
        <w:rPr>
          <w:rFonts w:ascii="Arial" w:hAnsi="Arial" w:cs="Arial"/>
          <w:color w:val="000000" w:themeColor="text1"/>
          <w:sz w:val="22"/>
          <w:szCs w:val="22"/>
        </w:rPr>
        <w:t>4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do niniejszej uchwały.</w:t>
      </w:r>
      <w:bookmarkEnd w:id="11"/>
    </w:p>
    <w:sectPr w:rsidR="00982AEE" w:rsidRPr="001714A2">
      <w:footerReference w:type="default" r:id="rId8"/>
      <w:footerReference w:type="first" r:id="rId9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C382" w14:textId="77777777" w:rsidR="003B7F5C" w:rsidRDefault="003B7F5C">
      <w:r>
        <w:separator/>
      </w:r>
    </w:p>
  </w:endnote>
  <w:endnote w:type="continuationSeparator" w:id="0">
    <w:p w14:paraId="12E09C2E" w14:textId="77777777" w:rsidR="003B7F5C" w:rsidRDefault="003B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1832" w14:textId="77777777" w:rsidR="00786940" w:rsidRDefault="0078694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52C0669" w14:textId="77777777" w:rsidR="00786940" w:rsidRDefault="0078694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E8A8" w14:textId="77777777" w:rsidR="00786940" w:rsidRDefault="00786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16F9B" w14:textId="77777777" w:rsidR="003B7F5C" w:rsidRDefault="003B7F5C">
      <w:r>
        <w:separator/>
      </w:r>
    </w:p>
  </w:footnote>
  <w:footnote w:type="continuationSeparator" w:id="0">
    <w:p w14:paraId="2895DED9" w14:textId="77777777" w:rsidR="003B7F5C" w:rsidRDefault="003B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77F107F"/>
    <w:multiLevelType w:val="hybridMultilevel"/>
    <w:tmpl w:val="F5EC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090862">
    <w:abstractNumId w:val="0"/>
  </w:num>
  <w:num w:numId="2" w16cid:durableId="1922133866">
    <w:abstractNumId w:val="1"/>
  </w:num>
  <w:num w:numId="3" w16cid:durableId="1236361148">
    <w:abstractNumId w:val="2"/>
  </w:num>
  <w:num w:numId="4" w16cid:durableId="1871868925">
    <w:abstractNumId w:val="3"/>
  </w:num>
  <w:num w:numId="5" w16cid:durableId="1108505582">
    <w:abstractNumId w:val="4"/>
  </w:num>
  <w:num w:numId="6" w16cid:durableId="1017346911">
    <w:abstractNumId w:val="5"/>
  </w:num>
  <w:num w:numId="7" w16cid:durableId="410585044">
    <w:abstractNumId w:val="6"/>
  </w:num>
  <w:num w:numId="8" w16cid:durableId="1756783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EE"/>
    <w:rsid w:val="000003F8"/>
    <w:rsid w:val="000257B6"/>
    <w:rsid w:val="000518DA"/>
    <w:rsid w:val="0005266F"/>
    <w:rsid w:val="00053FDC"/>
    <w:rsid w:val="00060B6F"/>
    <w:rsid w:val="00071174"/>
    <w:rsid w:val="000F5A62"/>
    <w:rsid w:val="001714A2"/>
    <w:rsid w:val="001B40CA"/>
    <w:rsid w:val="00237775"/>
    <w:rsid w:val="002B7247"/>
    <w:rsid w:val="002D44B5"/>
    <w:rsid w:val="002D5E94"/>
    <w:rsid w:val="00380D45"/>
    <w:rsid w:val="003B3506"/>
    <w:rsid w:val="003B4897"/>
    <w:rsid w:val="003B7F5C"/>
    <w:rsid w:val="00417F55"/>
    <w:rsid w:val="00480CBC"/>
    <w:rsid w:val="004C565B"/>
    <w:rsid w:val="004F563E"/>
    <w:rsid w:val="00513B35"/>
    <w:rsid w:val="00561E7C"/>
    <w:rsid w:val="005D7657"/>
    <w:rsid w:val="00654819"/>
    <w:rsid w:val="00660307"/>
    <w:rsid w:val="006717F1"/>
    <w:rsid w:val="006C2520"/>
    <w:rsid w:val="006D0A99"/>
    <w:rsid w:val="007024AB"/>
    <w:rsid w:val="00786940"/>
    <w:rsid w:val="00787A8A"/>
    <w:rsid w:val="007A088F"/>
    <w:rsid w:val="00882685"/>
    <w:rsid w:val="008A58C6"/>
    <w:rsid w:val="00982AEE"/>
    <w:rsid w:val="009E5F97"/>
    <w:rsid w:val="00A9221E"/>
    <w:rsid w:val="00AB0862"/>
    <w:rsid w:val="00B271A3"/>
    <w:rsid w:val="00B55866"/>
    <w:rsid w:val="00B95144"/>
    <w:rsid w:val="00C015C2"/>
    <w:rsid w:val="00C04EEA"/>
    <w:rsid w:val="00C770BE"/>
    <w:rsid w:val="00CC1501"/>
    <w:rsid w:val="00D1490B"/>
    <w:rsid w:val="00D523BC"/>
    <w:rsid w:val="00DA54C3"/>
    <w:rsid w:val="00DB1AC7"/>
    <w:rsid w:val="00E22476"/>
    <w:rsid w:val="00E32BCA"/>
    <w:rsid w:val="00E85A78"/>
    <w:rsid w:val="00EB7926"/>
    <w:rsid w:val="00EC6AFD"/>
    <w:rsid w:val="00F0328C"/>
    <w:rsid w:val="00F9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465492"/>
  <w15:chartTrackingRefBased/>
  <w15:docId w15:val="{E3754ADD-A47A-4159-ACA8-D4C591B1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Strong1">
    <w:name w:val="Strong1"/>
    <w:rPr>
      <w:b/>
      <w:bCs/>
    </w:rPr>
  </w:style>
  <w:style w:type="character" w:customStyle="1" w:styleId="PageNumber1">
    <w:name w:val="Page Number1"/>
    <w:basedOn w:val="DefaultParagraphFont1"/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rFonts w:ascii="Arial" w:hAnsi="Arial" w:cs="Arial"/>
      <w:b/>
      <w:bCs/>
      <w:lang w:val="pl-PL" w:eastAsia="pl-PL" w:bidi="ar-SA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TekstkomentarzaZnak">
    <w:name w:val="Tekst komentarza Znak"/>
    <w:basedOn w:val="DefaultParagraphFont1"/>
  </w:style>
  <w:style w:type="character" w:customStyle="1" w:styleId="TematkomentarzaZnak">
    <w:name w:val="Temat komentarza Znak"/>
    <w:rPr>
      <w:b/>
      <w:bCs/>
    </w:rPr>
  </w:style>
  <w:style w:type="character" w:customStyle="1" w:styleId="ListLabel1">
    <w:name w:val="ListLabel 1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">
    <w:name w:val="ListLabel 3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14">
    <w:name w:val="ListLabel 14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184">
    <w:name w:val="ListLabel 184"/>
    <w:rPr>
      <w:rFonts w:ascii="Arial" w:eastAsia="Times New Roman" w:hAnsi="Arial"/>
    </w:rPr>
  </w:style>
  <w:style w:type="character" w:customStyle="1" w:styleId="ListLabel183">
    <w:name w:val="ListLabel 183"/>
    <w:rPr>
      <w:rFonts w:ascii="Times New Roman" w:eastAsia="Times New Roman" w:hAnsi="Times New Roman"/>
    </w:rPr>
  </w:style>
  <w:style w:type="character" w:customStyle="1" w:styleId="ListLabel182">
    <w:name w:val="ListLabel 182"/>
    <w:rPr>
      <w:rFonts w:ascii="Times New Roman" w:eastAsia="Times New Roman" w:hAnsi="Times New Roman"/>
    </w:rPr>
  </w:style>
  <w:style w:type="character" w:customStyle="1" w:styleId="ListLabel181">
    <w:name w:val="ListLabel 181"/>
    <w:rPr>
      <w:rFonts w:ascii="Times New Roman" w:eastAsia="Times New Roman" w:hAnsi="Times New Roman"/>
    </w:rPr>
  </w:style>
  <w:style w:type="character" w:customStyle="1" w:styleId="ListLabel180">
    <w:name w:val="ListLabel 180"/>
    <w:rPr>
      <w:rFonts w:ascii="Times New Roman" w:eastAsia="Times New Roman" w:hAnsi="Times New Roman"/>
    </w:rPr>
  </w:style>
  <w:style w:type="character" w:customStyle="1" w:styleId="ListLabel179">
    <w:name w:val="ListLabel 179"/>
    <w:rPr>
      <w:rFonts w:ascii="Times New Roman" w:eastAsia="Times New Roman" w:hAnsi="Times New Roman"/>
    </w:rPr>
  </w:style>
  <w:style w:type="character" w:customStyle="1" w:styleId="ListLabel178">
    <w:name w:val="ListLabel 178"/>
    <w:rPr>
      <w:rFonts w:ascii="Times New Roman" w:eastAsia="Times New Roman" w:hAnsi="Times New Roman"/>
    </w:rPr>
  </w:style>
  <w:style w:type="character" w:customStyle="1" w:styleId="ListLabel177">
    <w:name w:val="ListLabel 177"/>
    <w:rPr>
      <w:rFonts w:ascii="Times New Roman" w:eastAsia="Times New Roman" w:hAnsi="Times New Roman"/>
    </w:rPr>
  </w:style>
  <w:style w:type="character" w:customStyle="1" w:styleId="ListLabel176">
    <w:name w:val="ListLabel 176"/>
    <w:rPr>
      <w:rFonts w:ascii="Times New Roman" w:eastAsia="Times New Roman" w:hAnsi="Times New Roman"/>
    </w:rPr>
  </w:style>
  <w:style w:type="character" w:customStyle="1" w:styleId="ListLabel175">
    <w:name w:val="ListLabel 175"/>
    <w:rPr>
      <w:rFonts w:ascii="Times New Roman" w:eastAsia="Times New Roman" w:hAnsi="Times New Roman"/>
    </w:rPr>
  </w:style>
  <w:style w:type="character" w:customStyle="1" w:styleId="ListLabel174">
    <w:name w:val="ListLabel 174"/>
    <w:rPr>
      <w:rFonts w:ascii="Times New Roman" w:eastAsia="Times New Roman" w:hAnsi="Times New Roman"/>
    </w:rPr>
  </w:style>
  <w:style w:type="character" w:customStyle="1" w:styleId="ListLabel173">
    <w:name w:val="ListLabel 173"/>
    <w:rPr>
      <w:rFonts w:ascii="Times New Roman" w:eastAsia="Times New Roman" w:hAnsi="Times New Roman"/>
    </w:rPr>
  </w:style>
  <w:style w:type="character" w:customStyle="1" w:styleId="ListLabel172">
    <w:name w:val="ListLabel 172"/>
    <w:rPr>
      <w:rFonts w:ascii="Times New Roman" w:eastAsia="Times New Roman" w:hAnsi="Times New Roman"/>
    </w:rPr>
  </w:style>
  <w:style w:type="character" w:customStyle="1" w:styleId="ListLabel171">
    <w:name w:val="ListLabel 171"/>
    <w:rPr>
      <w:rFonts w:ascii="Times New Roman" w:eastAsia="Times New Roman" w:hAnsi="Times New Roman"/>
    </w:rPr>
  </w:style>
  <w:style w:type="character" w:customStyle="1" w:styleId="ListLabel170">
    <w:name w:val="ListLabel 170"/>
    <w:rPr>
      <w:rFonts w:ascii="Times New Roman" w:eastAsia="Times New Roman" w:hAnsi="Times New Roman"/>
    </w:rPr>
  </w:style>
  <w:style w:type="character" w:customStyle="1" w:styleId="ListLabel169">
    <w:name w:val="ListLabel 169"/>
    <w:rPr>
      <w:rFonts w:ascii="Times New Roman" w:eastAsia="Times New Roman" w:hAnsi="Times New Roman"/>
    </w:rPr>
  </w:style>
  <w:style w:type="character" w:customStyle="1" w:styleId="ListLabel168">
    <w:name w:val="ListLabel 168"/>
    <w:rPr>
      <w:rFonts w:ascii="Times New Roman" w:eastAsia="Times New Roman" w:hAnsi="Times New Roman"/>
    </w:rPr>
  </w:style>
  <w:style w:type="character" w:customStyle="1" w:styleId="ListLabel167">
    <w:name w:val="ListLabel 167"/>
    <w:rPr>
      <w:rFonts w:ascii="Times New Roman" w:eastAsia="Times New Roman" w:hAnsi="Times New Roman"/>
    </w:rPr>
  </w:style>
  <w:style w:type="character" w:customStyle="1" w:styleId="ListLabel166">
    <w:name w:val="ListLabel 166"/>
    <w:rPr>
      <w:rFonts w:ascii="Times New Roman" w:eastAsia="Times New Roman" w:hAnsi="Times New Roman"/>
    </w:rPr>
  </w:style>
  <w:style w:type="character" w:customStyle="1" w:styleId="ListLabel165">
    <w:name w:val="ListLabel 165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64">
    <w:name w:val="ListLabel 164"/>
    <w:rPr>
      <w:rFonts w:ascii="Times New Roman" w:eastAsia="Times New Roman" w:hAnsi="Times New Roman"/>
    </w:rPr>
  </w:style>
  <w:style w:type="character" w:customStyle="1" w:styleId="ListLabel163">
    <w:name w:val="ListLabel 163"/>
    <w:rPr>
      <w:rFonts w:ascii="Times New Roman" w:eastAsia="Times New Roman" w:hAnsi="Times New Roman"/>
    </w:rPr>
  </w:style>
  <w:style w:type="character" w:customStyle="1" w:styleId="ListLabel162">
    <w:name w:val="ListLabel 162"/>
    <w:rPr>
      <w:rFonts w:ascii="Times New Roman" w:eastAsia="Times New Roman" w:hAnsi="Times New Roman"/>
    </w:rPr>
  </w:style>
  <w:style w:type="character" w:customStyle="1" w:styleId="ListLabel161">
    <w:name w:val="ListLabel 161"/>
    <w:rPr>
      <w:rFonts w:ascii="Times New Roman" w:eastAsia="Times New Roman" w:hAnsi="Times New Roman"/>
    </w:rPr>
  </w:style>
  <w:style w:type="character" w:customStyle="1" w:styleId="ListLabel160">
    <w:name w:val="ListLabel 160"/>
    <w:rPr>
      <w:rFonts w:ascii="Times New Roman" w:eastAsia="Times New Roman" w:hAnsi="Times New Roman"/>
    </w:rPr>
  </w:style>
  <w:style w:type="character" w:customStyle="1" w:styleId="ListLabel159">
    <w:name w:val="ListLabel 159"/>
    <w:rPr>
      <w:rFonts w:ascii="Times New Roman" w:eastAsia="Times New Roman" w:hAnsi="Times New Roman"/>
    </w:rPr>
  </w:style>
  <w:style w:type="character" w:customStyle="1" w:styleId="ListLabel158">
    <w:name w:val="ListLabel 158"/>
    <w:rPr>
      <w:rFonts w:ascii="Times New Roman" w:eastAsia="Times New Roman" w:hAnsi="Times New Roman"/>
    </w:rPr>
  </w:style>
  <w:style w:type="character" w:customStyle="1" w:styleId="ListLabel157">
    <w:name w:val="ListLabel 157"/>
    <w:rPr>
      <w:rFonts w:ascii="Times New Roman" w:eastAsia="Times New Roman" w:hAnsi="Times New Roman"/>
    </w:rPr>
  </w:style>
  <w:style w:type="character" w:customStyle="1" w:styleId="ListLabel156">
    <w:name w:val="ListLabel 156"/>
    <w:rPr>
      <w:rFonts w:ascii="Arial" w:eastAsia="Times New Roman" w:hAnsi="Arial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4">
    <w:name w:val="ListLabel 154"/>
    <w:rPr>
      <w:rFonts w:eastAsia="Times New Roman"/>
    </w:rPr>
  </w:style>
  <w:style w:type="character" w:customStyle="1" w:styleId="ListLabel153">
    <w:name w:val="ListLabel 153"/>
    <w:rPr>
      <w:rFonts w:eastAsia="Times New Roman"/>
    </w:rPr>
  </w:style>
  <w:style w:type="character" w:customStyle="1" w:styleId="ListLabel152">
    <w:name w:val="ListLabel 152"/>
    <w:rPr>
      <w:rFonts w:eastAsia="Times New Roman"/>
    </w:rPr>
  </w:style>
  <w:style w:type="character" w:customStyle="1" w:styleId="ListLabel151">
    <w:name w:val="ListLabel 151"/>
    <w:rPr>
      <w:rFonts w:eastAsia="Times New Roman"/>
    </w:rPr>
  </w:style>
  <w:style w:type="character" w:customStyle="1" w:styleId="ListLabel150">
    <w:name w:val="ListLabel 150"/>
    <w:rPr>
      <w:rFonts w:eastAsia="Times New Roman"/>
    </w:rPr>
  </w:style>
  <w:style w:type="character" w:customStyle="1" w:styleId="ListLabel149">
    <w:name w:val="ListLabel 149"/>
    <w:rPr>
      <w:rFonts w:ascii="Arial" w:eastAsia="Arial" w:hAnsi="Arial"/>
      <w:b w:val="0"/>
      <w:bCs w:val="0"/>
      <w:i w:val="0"/>
      <w:iCs w:val="0"/>
      <w:sz w:val="20"/>
      <w:szCs w:val="20"/>
    </w:rPr>
  </w:style>
  <w:style w:type="character" w:customStyle="1" w:styleId="ListLabel148">
    <w:name w:val="ListLabel 148"/>
    <w:rPr>
      <w:rFonts w:eastAsia="Times New Roman"/>
    </w:rPr>
  </w:style>
  <w:style w:type="character" w:customStyle="1" w:styleId="ListLabel147">
    <w:name w:val="ListLabel 147"/>
    <w:rPr>
      <w:rFonts w:ascii="Arial" w:eastAsia="Arial" w:hAnsi="Arial"/>
      <w:b w:val="0"/>
      <w:bCs w:val="0"/>
      <w:i w:val="0"/>
      <w:iCs w:val="0"/>
      <w:sz w:val="20"/>
      <w:szCs w:val="20"/>
    </w:rPr>
  </w:style>
  <w:style w:type="character" w:customStyle="1" w:styleId="ListLabel146">
    <w:name w:val="ListLabel 146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45">
    <w:name w:val="ListLabel 145"/>
    <w:rPr>
      <w:rFonts w:eastAsia="Times New Roman"/>
    </w:rPr>
  </w:style>
  <w:style w:type="character" w:customStyle="1" w:styleId="ListLabel144">
    <w:name w:val="ListLabel 144"/>
    <w:rPr>
      <w:rFonts w:eastAsia="Times New Roman"/>
    </w:rPr>
  </w:style>
  <w:style w:type="character" w:customStyle="1" w:styleId="ListLabel143">
    <w:name w:val="ListLabel 143"/>
    <w:rPr>
      <w:rFonts w:eastAsia="Times New Roman"/>
    </w:rPr>
  </w:style>
  <w:style w:type="character" w:customStyle="1" w:styleId="ListLabel142">
    <w:name w:val="ListLabel 142"/>
    <w:rPr>
      <w:rFonts w:eastAsia="Times New Roman"/>
    </w:rPr>
  </w:style>
  <w:style w:type="character" w:customStyle="1" w:styleId="ListLabel141">
    <w:name w:val="ListLabel 141"/>
    <w:rPr>
      <w:rFonts w:eastAsia="Times New Roman"/>
    </w:rPr>
  </w:style>
  <w:style w:type="character" w:customStyle="1" w:styleId="ListLabel140">
    <w:name w:val="ListLabel 140"/>
    <w:rPr>
      <w:rFonts w:eastAsia="Times New Roman"/>
    </w:rPr>
  </w:style>
  <w:style w:type="character" w:customStyle="1" w:styleId="ListLabel139">
    <w:name w:val="ListLabel 139"/>
    <w:rPr>
      <w:rFonts w:eastAsia="Times New Roman"/>
    </w:rPr>
  </w:style>
  <w:style w:type="character" w:customStyle="1" w:styleId="ListLabel138">
    <w:name w:val="ListLabel 138"/>
    <w:rPr>
      <w:rFonts w:eastAsia="Times New Roman"/>
    </w:rPr>
  </w:style>
  <w:style w:type="character" w:customStyle="1" w:styleId="ListLabel137">
    <w:name w:val="ListLabel 137"/>
    <w:rPr>
      <w:rFonts w:eastAsia="Times New Roman"/>
      <w:color w:val="auto"/>
    </w:rPr>
  </w:style>
  <w:style w:type="character" w:customStyle="1" w:styleId="ListLabel136">
    <w:name w:val="ListLabel 136"/>
    <w:rPr>
      <w:rFonts w:eastAsia="Times New Roman"/>
    </w:rPr>
  </w:style>
  <w:style w:type="character" w:customStyle="1" w:styleId="ListLabel135">
    <w:name w:val="ListLabel 135"/>
    <w:rPr>
      <w:rFonts w:eastAsia="Times New Roman"/>
    </w:rPr>
  </w:style>
  <w:style w:type="character" w:customStyle="1" w:styleId="ListLabel134">
    <w:name w:val="ListLabel 134"/>
    <w:rPr>
      <w:rFonts w:eastAsia="Times New Roman"/>
    </w:rPr>
  </w:style>
  <w:style w:type="character" w:customStyle="1" w:styleId="ListLabel133">
    <w:name w:val="ListLabel 133"/>
    <w:rPr>
      <w:rFonts w:eastAsia="Times New Roman"/>
    </w:rPr>
  </w:style>
  <w:style w:type="character" w:customStyle="1" w:styleId="ListLabel132">
    <w:name w:val="ListLabel 132"/>
    <w:rPr>
      <w:rFonts w:eastAsia="Times New Roman"/>
    </w:rPr>
  </w:style>
  <w:style w:type="character" w:customStyle="1" w:styleId="ListLabel131">
    <w:name w:val="ListLabel 131"/>
    <w:rPr>
      <w:rFonts w:eastAsia="Times New Roman"/>
    </w:rPr>
  </w:style>
  <w:style w:type="character" w:customStyle="1" w:styleId="ListLabel130">
    <w:name w:val="ListLabel 130"/>
    <w:rPr>
      <w:rFonts w:eastAsia="Times New Roman"/>
    </w:rPr>
  </w:style>
  <w:style w:type="character" w:customStyle="1" w:styleId="ListLabel129">
    <w:name w:val="ListLabel 129"/>
    <w:rPr>
      <w:rFonts w:eastAsia="Times New Roman"/>
    </w:rPr>
  </w:style>
  <w:style w:type="character" w:customStyle="1" w:styleId="ListLabel128">
    <w:name w:val="ListLabel 128"/>
    <w:rPr>
      <w:rFonts w:eastAsia="Times New Roman"/>
    </w:rPr>
  </w:style>
  <w:style w:type="character" w:customStyle="1" w:styleId="ListLabel127">
    <w:name w:val="ListLabel 127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18">
    <w:name w:val="ListLabel 11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08">
    <w:name w:val="ListLabel 10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98">
    <w:name w:val="ListLabel 9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1">
    <w:name w:val="ListLabel 91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88">
    <w:name w:val="ListLabel 8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87">
    <w:name w:val="ListLabel 87"/>
    <w:rPr>
      <w:rFonts w:ascii="Times New Roman" w:eastAsia="Times New Roman" w:hAnsi="Times New Roman"/>
    </w:rPr>
  </w:style>
  <w:style w:type="character" w:customStyle="1" w:styleId="ListLabel86">
    <w:name w:val="ListLabel 86"/>
    <w:rPr>
      <w:rFonts w:ascii="Times New Roman" w:eastAsia="Times New Roman" w:hAnsi="Times New Roman"/>
    </w:rPr>
  </w:style>
  <w:style w:type="character" w:customStyle="1" w:styleId="ListLabel85">
    <w:name w:val="ListLabel 85"/>
    <w:rPr>
      <w:rFonts w:ascii="Times New Roman" w:eastAsia="Times New Roman" w:hAnsi="Times New Roman"/>
    </w:rPr>
  </w:style>
  <w:style w:type="character" w:customStyle="1" w:styleId="ListLabel84">
    <w:name w:val="ListLabel 84"/>
    <w:rPr>
      <w:rFonts w:ascii="Times New Roman" w:eastAsia="Times New Roman" w:hAnsi="Times New Roman"/>
    </w:rPr>
  </w:style>
  <w:style w:type="character" w:customStyle="1" w:styleId="ListLabel83">
    <w:name w:val="ListLabel 83"/>
    <w:rPr>
      <w:rFonts w:ascii="Times New Roman" w:eastAsia="Times New Roman" w:hAnsi="Times New Roman"/>
    </w:rPr>
  </w:style>
  <w:style w:type="character" w:customStyle="1" w:styleId="ListLabel82">
    <w:name w:val="ListLabel 82"/>
    <w:rPr>
      <w:rFonts w:ascii="Times New Roman" w:eastAsia="Times New Roman" w:hAnsi="Times New Roman"/>
    </w:rPr>
  </w:style>
  <w:style w:type="character" w:customStyle="1" w:styleId="ListLabel81">
    <w:name w:val="ListLabel 81"/>
    <w:rPr>
      <w:rFonts w:ascii="Times New Roman" w:eastAsia="Times New Roman" w:hAnsi="Times New Roman"/>
    </w:rPr>
  </w:style>
  <w:style w:type="character" w:customStyle="1" w:styleId="ListLabel80">
    <w:name w:val="ListLabel 80"/>
    <w:rPr>
      <w:rFonts w:ascii="Times New Roman" w:eastAsia="Times New Roman" w:hAnsi="Times New Roman"/>
    </w:rPr>
  </w:style>
  <w:style w:type="character" w:customStyle="1" w:styleId="ListLabel79">
    <w:name w:val="ListLabel 79"/>
    <w:rPr>
      <w:rFonts w:ascii="Arial" w:eastAsia="Times New Roman" w:hAnsi="Arial"/>
    </w:rPr>
  </w:style>
  <w:style w:type="character" w:customStyle="1" w:styleId="ListLabel78">
    <w:name w:val="ListLabel 78"/>
    <w:rPr>
      <w:rFonts w:ascii="Times New Roman" w:eastAsia="Times New Roman" w:hAnsi="Times New Roman"/>
    </w:rPr>
  </w:style>
  <w:style w:type="character" w:customStyle="1" w:styleId="ListLabel77">
    <w:name w:val="ListLabel 77"/>
    <w:rPr>
      <w:rFonts w:ascii="Times New Roman" w:eastAsia="Times New Roman" w:hAnsi="Times New Roman"/>
    </w:rPr>
  </w:style>
  <w:style w:type="character" w:customStyle="1" w:styleId="ListLabel76">
    <w:name w:val="ListLabel 76"/>
    <w:rPr>
      <w:rFonts w:ascii="Times New Roman" w:eastAsia="Times New Roman" w:hAnsi="Times New Roman"/>
    </w:rPr>
  </w:style>
  <w:style w:type="character" w:customStyle="1" w:styleId="ListLabel75">
    <w:name w:val="ListLabel 75"/>
    <w:rPr>
      <w:rFonts w:ascii="Times New Roman" w:eastAsia="Times New Roman" w:hAnsi="Times New Roman"/>
    </w:rPr>
  </w:style>
  <w:style w:type="character" w:customStyle="1" w:styleId="ListLabel74">
    <w:name w:val="ListLabel 74"/>
    <w:rPr>
      <w:rFonts w:ascii="Times New Roman" w:eastAsia="Times New Roman" w:hAnsi="Times New Roman"/>
    </w:rPr>
  </w:style>
  <w:style w:type="character" w:customStyle="1" w:styleId="ListLabel73">
    <w:name w:val="ListLabel 73"/>
    <w:rPr>
      <w:rFonts w:ascii="Times New Roman" w:eastAsia="Times New Roman" w:hAnsi="Times New Roman"/>
    </w:rPr>
  </w:style>
  <w:style w:type="character" w:customStyle="1" w:styleId="ListLabel72">
    <w:name w:val="ListLabel 72"/>
    <w:rPr>
      <w:rFonts w:ascii="Times New Roman" w:eastAsia="Times New Roman" w:hAnsi="Times New Roman"/>
    </w:rPr>
  </w:style>
  <w:style w:type="character" w:customStyle="1" w:styleId="ListLabel71">
    <w:name w:val="ListLabel 71"/>
    <w:rPr>
      <w:rFonts w:ascii="Times New Roman" w:eastAsia="Times New Roman" w:hAnsi="Times New Roman"/>
    </w:rPr>
  </w:style>
  <w:style w:type="character" w:customStyle="1" w:styleId="ListLabel70">
    <w:name w:val="ListLabel 70"/>
    <w:rPr>
      <w:rFonts w:ascii="Arial" w:eastAsia="Times New Roman" w:hAnsi="Arial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eastAsia="Times New Roman"/>
    </w:rPr>
  </w:style>
  <w:style w:type="character" w:customStyle="1" w:styleId="ListLabel49">
    <w:name w:val="ListLabel 49"/>
    <w:rPr>
      <w:rFonts w:eastAsia="Times New Roman"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ascii="Times New Roman" w:eastAsia="Times New Roman" w:hAnsi="Times New Roman"/>
    </w:rPr>
  </w:style>
  <w:style w:type="character" w:customStyle="1" w:styleId="ListLabel41">
    <w:name w:val="ListLabel 41"/>
    <w:rPr>
      <w:rFonts w:ascii="Times New Roman" w:eastAsia="Times New Roman" w:hAnsi="Times New Roman"/>
    </w:rPr>
  </w:style>
  <w:style w:type="character" w:customStyle="1" w:styleId="ListLabel40">
    <w:name w:val="ListLabel 40"/>
    <w:rPr>
      <w:rFonts w:ascii="Times New Roman" w:eastAsia="Times New Roman" w:hAnsi="Times New Roman"/>
    </w:rPr>
  </w:style>
  <w:style w:type="character" w:customStyle="1" w:styleId="ListLabel39">
    <w:name w:val="ListLabel 39"/>
    <w:rPr>
      <w:rFonts w:ascii="Times New Roman" w:eastAsia="Times New Roman" w:hAnsi="Times New Roman"/>
    </w:rPr>
  </w:style>
  <w:style w:type="character" w:customStyle="1" w:styleId="ListLabel38">
    <w:name w:val="ListLabel 38"/>
    <w:rPr>
      <w:rFonts w:ascii="Times New Roman" w:eastAsia="Times New Roman" w:hAnsi="Times New Roman"/>
    </w:rPr>
  </w:style>
  <w:style w:type="character" w:customStyle="1" w:styleId="ListLabel37">
    <w:name w:val="ListLabel 37"/>
    <w:rPr>
      <w:rFonts w:ascii="Times New Roman" w:eastAsia="Times New Roman" w:hAnsi="Times New Roman"/>
    </w:rPr>
  </w:style>
  <w:style w:type="character" w:customStyle="1" w:styleId="ListLabel36">
    <w:name w:val="ListLabel 36"/>
    <w:rPr>
      <w:rFonts w:ascii="Times New Roman" w:eastAsia="Times New Roman" w:hAnsi="Times New Roman"/>
    </w:rPr>
  </w:style>
  <w:style w:type="character" w:customStyle="1" w:styleId="ListLabel35">
    <w:name w:val="ListLabel 35"/>
    <w:rPr>
      <w:rFonts w:ascii="Times New Roman" w:eastAsia="Times New Roman" w:hAnsi="Times New Roman"/>
    </w:rPr>
  </w:style>
  <w:style w:type="character" w:customStyle="1" w:styleId="ListLabel34">
    <w:name w:val="ListLabel 34"/>
    <w:rPr>
      <w:rFonts w:ascii="Arial" w:eastAsia="Times New Roman" w:hAnsi="Arial"/>
    </w:rPr>
  </w:style>
  <w:style w:type="character" w:customStyle="1" w:styleId="ListLabel33">
    <w:name w:val="ListLabel 33"/>
    <w:rPr>
      <w:rFonts w:ascii="Times New Roman" w:eastAsia="Times New Roman" w:hAnsi="Times New Roman"/>
    </w:rPr>
  </w:style>
  <w:style w:type="character" w:customStyle="1" w:styleId="ListLabel32">
    <w:name w:val="ListLabel 32"/>
    <w:rPr>
      <w:rFonts w:ascii="Times New Roman" w:eastAsia="Times New Roman" w:hAnsi="Times New Roman"/>
    </w:rPr>
  </w:style>
  <w:style w:type="character" w:customStyle="1" w:styleId="ListLabel31">
    <w:name w:val="ListLabel 31"/>
    <w:rPr>
      <w:rFonts w:ascii="Times New Roman" w:eastAsia="Times New Roman" w:hAnsi="Times New Roman"/>
    </w:rPr>
  </w:style>
  <w:style w:type="character" w:customStyle="1" w:styleId="ListLabel30">
    <w:name w:val="ListLabel 30"/>
    <w:rPr>
      <w:rFonts w:ascii="Times New Roman" w:eastAsia="Times New Roman" w:hAnsi="Times New Roman"/>
    </w:rPr>
  </w:style>
  <w:style w:type="character" w:customStyle="1" w:styleId="ListLabel29">
    <w:name w:val="ListLabel 29"/>
    <w:rPr>
      <w:rFonts w:ascii="Times New Roman" w:eastAsia="Times New Roman" w:hAnsi="Times New Roman"/>
    </w:rPr>
  </w:style>
  <w:style w:type="character" w:customStyle="1" w:styleId="ListLabel28">
    <w:name w:val="ListLabel 28"/>
    <w:rPr>
      <w:rFonts w:ascii="Times New Roman" w:eastAsia="Times New Roman" w:hAnsi="Times New Roman"/>
    </w:rPr>
  </w:style>
  <w:style w:type="character" w:customStyle="1" w:styleId="ListLabel27">
    <w:name w:val="ListLabel 27"/>
    <w:rPr>
      <w:rFonts w:ascii="Times New Roman" w:eastAsia="Times New Roman" w:hAnsi="Times New Roman"/>
    </w:rPr>
  </w:style>
  <w:style w:type="character" w:customStyle="1" w:styleId="ListLabel26">
    <w:name w:val="ListLabel 26"/>
    <w:rPr>
      <w:rFonts w:ascii="Times New Roman" w:eastAsia="Times New Roman" w:hAnsi="Times New Roman"/>
    </w:rPr>
  </w:style>
  <w:style w:type="character" w:customStyle="1" w:styleId="ListLabel25">
    <w:name w:val="ListLabel 25"/>
    <w:rPr>
      <w:rFonts w:ascii="Arial" w:eastAsia="Times New Roman" w:hAnsi="Arial"/>
    </w:rPr>
  </w:style>
  <w:style w:type="character" w:customStyle="1" w:styleId="EndnoteCharacters">
    <w:name w:val="Endnote Characters"/>
    <w:rPr>
      <w:rFonts w:ascii="Times New Roman" w:eastAsia="Times New Roman" w:hAnsi="Times New Roman"/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/>
    </w:rPr>
  </w:style>
  <w:style w:type="character" w:customStyle="1" w:styleId="HTML-wstpniesformatowanyZnak">
    <w:name w:val="HTML - wstępnie sformatowany Znak"/>
    <w:rPr>
      <w:rFonts w:ascii="Courier New" w:eastAsia="Courier New" w:hAnsi="Courier New"/>
      <w:sz w:val="20"/>
      <w:szCs w:val="20"/>
    </w:rPr>
  </w:style>
  <w:style w:type="character" w:customStyle="1" w:styleId="ZwykytekstZnak">
    <w:name w:val="Zwykły tekst Znak"/>
    <w:rPr>
      <w:rFonts w:ascii="Courier New" w:eastAsia="Courier New" w:hAnsi="Courier New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Web1">
    <w:name w:val="Normal (Web)1"/>
    <w:basedOn w:val="Normalny"/>
    <w:pPr>
      <w:spacing w:before="280" w:after="280"/>
    </w:pPr>
  </w:style>
  <w:style w:type="paragraph" w:customStyle="1" w:styleId="BodyText21">
    <w:name w:val="Body Text 21"/>
    <w:basedOn w:val="Normalny"/>
    <w:pPr>
      <w:spacing w:after="120" w:line="480" w:lineRule="auto"/>
    </w:pPr>
  </w:style>
  <w:style w:type="paragraph" w:customStyle="1" w:styleId="PlainText1">
    <w:name w:val="Plain Text1"/>
    <w:basedOn w:val="Normalny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BalloonText1">
    <w:name w:val="Balloon Text1"/>
    <w:basedOn w:val="Normalny"/>
    <w:rPr>
      <w:rFonts w:ascii="Segoe UI" w:hAnsi="Segoe UI" w:cs="Segoe UI"/>
      <w:sz w:val="18"/>
      <w:szCs w:val="18"/>
    </w:rPr>
  </w:style>
  <w:style w:type="paragraph" w:customStyle="1" w:styleId="CommentText1">
    <w:name w:val="Comment Text1"/>
    <w:basedOn w:val="Normalny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dtz">
    <w:name w:val="dtz"/>
    <w:basedOn w:val="Normalny"/>
    <w:pPr>
      <w:spacing w:after="300"/>
    </w:pPr>
    <w:rPr>
      <w:rFonts w:ascii="inherit" w:hAnsi="inherit" w:cs="inherit"/>
    </w:rPr>
  </w:style>
  <w:style w:type="paragraph" w:customStyle="1" w:styleId="dtn">
    <w:name w:val="dtn"/>
    <w:basedOn w:val="Normalny"/>
    <w:pPr>
      <w:spacing w:after="300"/>
    </w:pPr>
    <w:rPr>
      <w:rFonts w:ascii="inherit" w:hAnsi="inherit" w:cs="inherit"/>
    </w:rPr>
  </w:style>
  <w:style w:type="paragraph" w:customStyle="1" w:styleId="HTMLPreformatted1">
    <w:name w:val="HTML Preformatted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7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1734-3F2C-4B58-8E30-11911E8F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2306</Words>
  <Characters>13839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………………………………</vt:lpstr>
      <vt:lpstr>Uchwała Nr ………………………………</vt:lpstr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………………………………</dc:title>
  <dc:subject/>
  <dc:creator>STUDIO DZ DANIEL ZAŁUSKI</dc:creator>
  <cp:keywords/>
  <cp:lastModifiedBy>DANIEL ZALUSKI</cp:lastModifiedBy>
  <cp:revision>23</cp:revision>
  <cp:lastPrinted>2022-06-02T06:38:00Z</cp:lastPrinted>
  <dcterms:created xsi:type="dcterms:W3CDTF">2022-04-07T10:40:00Z</dcterms:created>
  <dcterms:modified xsi:type="dcterms:W3CDTF">2024-12-25T15:35:00Z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